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1B3A4B"/>
        </w:rPr>
        <w:t>S005 — AL-MĀʾIDA — CP04</w:t>
      </w:r>
    </w:p>
    <w:p>
      <w:pPr>
        <w:spacing w:after="40"/>
      </w:pPr>
      <w:r>
        <w:rPr>
          <w:rFonts w:ascii="Calibri" w:hAnsi="Calibri" w:eastAsia="Calibri"/>
          <w:b/>
          <w:i w:val="0"/>
          <w:color w:val="1B3A4B"/>
          <w:sz w:val="22"/>
        </w:rPr>
        <w:t xml:space="preserve">Unit: </w:t>
      </w:r>
      <w:r>
        <w:rPr>
          <w:rFonts w:ascii="Calibri" w:hAnsi="Calibri" w:eastAsia="Calibri"/>
          <w:b w:val="0"/>
          <w:i w:val="0"/>
          <w:color w:val="222222"/>
          <w:sz w:val="22"/>
        </w:rPr>
        <w:t>5:41–50 (10 verses)</w:t>
      </w:r>
    </w:p>
    <w:p>
      <w:pPr>
        <w:spacing w:after="40"/>
      </w:pPr>
      <w:r>
        <w:rPr>
          <w:rFonts w:ascii="Calibri" w:hAnsi="Calibri" w:eastAsia="Calibri"/>
          <w:b/>
          <w:i w:val="0"/>
          <w:color w:val="1B3A4B"/>
          <w:sz w:val="22"/>
        </w:rPr>
        <w:t xml:space="preserve">Date: </w:t>
      </w:r>
      <w:r>
        <w:rPr>
          <w:rFonts w:ascii="Calibri" w:hAnsi="Calibri" w:eastAsia="Calibri"/>
          <w:b w:val="0"/>
          <w:i w:val="0"/>
          <w:color w:val="222222"/>
          <w:sz w:val="22"/>
        </w:rPr>
        <w:t>11 September 2026</w:t>
      </w:r>
    </w:p>
    <w:p>
      <w:pPr>
        <w:pStyle w:val="Heading1"/>
      </w:pPr>
      <w:r>
        <w:rPr>
          <w:rFonts w:ascii="Calibri" w:hAnsi="Calibri"/>
          <w:color w:val="1B3A4B"/>
        </w:rPr>
        <w:t>1. Overview</w:t>
      </w:r>
    </w:p>
    <w:p>
      <w:pPr>
        <w:spacing w:after="160"/>
      </w:pPr>
      <w:r>
        <w:rPr>
          <w:rFonts w:ascii="Calibri" w:hAnsi="Calibri" w:eastAsia="Calibri"/>
          <w:b w:val="0"/>
          <w:i w:val="0"/>
          <w:color w:val="222222"/>
          <w:sz w:val="22"/>
        </w:rPr>
        <w:t>O messenger, do not grieve over those who rush into kufr from those who say we believe with their mouths while their hearts do not believe, and from those who are Jews, listeners to the lie, listeners for another people who have not come to you. They displace words from their places. They say if you are given this take it, and if you are not given it beware. Whom God wants to trial you will not own for him anything from God. Those are the ones whose hearts God did not want to purify; disgrace in this world and a great punishment in the hereafter. Listeners to the lie, eaters of the suḥt. If they come to you, judge between them or turn from them. If you turn from them they will not harm you at all. If you judge, judge between them with qisṭ. God loves the just. How do they make you judge when they have the Torah in which is God’s judgment, then they turn away after that? Those are not believers. We sent down the Torah; in it is guidance and light. The prophets who submitted judged the Jews by it, and the rabbāniyyūn and the aḥbār, with what they were given to keep of God’s Book and they were witnesses over it. Do not fear people; fear Me. Do not sell My signs for a small price. Whoever does not judge by what God sent down — those are the kāfirūn. We wrote on them in it: a nafs for a nafs, an eye for an eye, a nose for a nose, an ear for an ear, a tooth for a tooth; wounds qiṣāṣ. Whoever gives it as ṣadaqa, it is an expiation for him. Whoever does not judge by what God sent down — those are the ẓālimūn. We sent in their tracks Jesus son of Mary, confirming what was before him of the Torah; We gave him the Injīl; in it is guidance and light, confirming what was before him of the Torah, a guidance and an admonition for the muttaqīn. Let the people of the Injīl judge by what God sent down in it. Whoever does not judge by what God sent down — those are the fāsiqūn. We sent down to you the Book with truth, confirming what is before it of the Book and muhayminan over it. So judge between them by what God sent down and do not follow their desires away from the truth that has come to you. For each of you We made a shirʿa and a minhāj. If God had willed He would have made you one ummah, but to test you in what He gave you. Race to the good things. To God is your return all together; He will tell you about what you used to differ in. Judge between them by what God sent down and do not follow their desires. Beware of them lest they tempt you away from some of what God sent down to you. If they turn away, know that God wants to hit them for some of their sins. Many of the people are fāsiqūn. Is it the judgment of Jāhiliyya they want? Who is better than God in judgment for a people who are certain?</w:t>
      </w:r>
    </w:p>
    <w:p>
      <w:pPr>
        <w:pStyle w:val="Heading1"/>
      </w:pPr>
      <w:r>
        <w:rPr>
          <w:rFonts w:ascii="Calibri" w:hAnsi="Calibri"/>
          <w:color w:val="1B3A4B"/>
        </w:rPr>
        <w:t>2–3. Investigation</w:t>
      </w:r>
    </w:p>
    <w:p>
      <w:pPr>
        <w:pStyle w:val="Heading2"/>
      </w:pPr>
      <w:r>
        <w:rPr>
          <w:rFonts w:ascii="Calibri" w:hAnsi="Calibri"/>
          <w:color w:val="1B3A4B"/>
        </w:rPr>
        <w:t>5:41–43 shopping for a judgment</w:t>
      </w:r>
    </w:p>
    <w:p>
      <w:pPr>
        <w:spacing w:after="160"/>
      </w:pPr>
      <w:r>
        <w:rPr>
          <w:rFonts w:ascii="Calibri" w:hAnsi="Calibri" w:eastAsia="Calibri"/>
          <w:b w:val="0"/>
          <w:i w:val="0"/>
          <w:color w:val="222222"/>
          <w:sz w:val="22"/>
        </w:rPr>
        <w:t>Two groups rush into kufr: mouth-believers whose hearts do not, and some Jews who listen to the lie for another people who have not come to you. They displace words. They say: if you are given this (ruling), take it; if not, beware. Listeners to the lie, eaters of suḥt (ill-gotten). The messenger may judge between them or turn away; if he judges, with qisṭ. How do they appoint you judge when they have the Torah in which is God’s ḥukm — then they turn away? Those are not believers.</w:t>
      </w:r>
    </w:p>
    <w:p>
      <w:pPr>
        <w:spacing w:after="160"/>
      </w:pPr>
      <w:r>
        <w:rPr>
          <w:rFonts w:ascii="Calibri" w:hAnsi="Calibri" w:eastAsia="Calibri"/>
          <w:b w:val="0"/>
          <w:i w:val="0"/>
          <w:color w:val="222222"/>
          <w:sz w:val="22"/>
        </w:rPr>
        <w:t>Level 1: a forum-shopping charge. The Torah is named as already containing God’s judgment. Coming to this messenger and then walking away if the answer is inconvenient is named as unbelief. Traditional asbāb: a ḥadd / adultery / blood-money case they hoped he would lighten. TRADITION for the case-name. Level 1 is the shop-and-leave pattern plus the Torah-already-has-it sentence.</w:t>
      </w:r>
    </w:p>
    <w:p>
      <w:pPr>
        <w:pStyle w:val="Heading2"/>
      </w:pPr>
      <w:r>
        <w:rPr>
          <w:rFonts w:ascii="Calibri" w:hAnsi="Calibri"/>
          <w:color w:val="1B3A4B"/>
        </w:rPr>
        <w:t>5:44 Torah: guidance and light; prophets and rabbis judged by it</w:t>
      </w:r>
    </w:p>
    <w:p>
      <w:pPr>
        <w:spacing w:after="160"/>
      </w:pPr>
      <w:r>
        <w:rPr>
          <w:rFonts w:ascii="Calibri" w:hAnsi="Calibri" w:eastAsia="Calibri"/>
          <w:b w:val="0"/>
          <w:i w:val="0"/>
          <w:color w:val="222222"/>
          <w:sz w:val="22"/>
        </w:rPr>
        <w:t>We sent down the Torah; in it is hudā and nūr. The prophets who were muslims judged the Jews by it; so did the rabbāniyyūn and aḥbār, with what they were entrusted of God’s Book; they were witnesses over it. Do not fear people; do not sell the signs. Whoever does not judge by what God sent down: those are the kāfirūn.</w:t>
      </w:r>
    </w:p>
    <w:p>
      <w:pPr>
        <w:spacing w:after="160"/>
      </w:pPr>
      <w:r>
        <w:rPr>
          <w:rFonts w:ascii="Calibri" w:hAnsi="Calibri" w:eastAsia="Calibri"/>
          <w:b w:val="0"/>
          <w:i w:val="0"/>
          <w:color w:val="222222"/>
          <w:sz w:val="22"/>
        </w:rPr>
        <w:t>This is the strongest “the Torah in their hands is still a judging-book” verse so far. The keepers are named: prophets, rabbis, scholars. QCA-0004 thickens: confirmation plus present-tense judging-duty. Tahrīf in 5:41 is displacement in the shopped case, sitting next to a verse that still calls the Torah guidance and light.</w:t>
      </w:r>
    </w:p>
    <w:p>
      <w:pPr>
        <w:pStyle w:val="Heading2"/>
      </w:pPr>
      <w:r>
        <w:rPr>
          <w:rFonts w:ascii="Calibri" w:hAnsi="Calibri"/>
          <w:color w:val="1B3A4B"/>
        </w:rPr>
        <w:t>5:45 nafs for nafs; eye for eye</w:t>
      </w:r>
    </w:p>
    <w:p>
      <w:pPr>
        <w:spacing w:after="160"/>
      </w:pPr>
      <w:r>
        <w:rPr>
          <w:rFonts w:ascii="Calibri" w:hAnsi="Calibri" w:eastAsia="Calibri"/>
          <w:b w:val="0"/>
          <w:i w:val="0"/>
          <w:color w:val="222222"/>
          <w:sz w:val="22"/>
        </w:rPr>
        <w:t>We wrote on them in it: a soul for a soul, an eye for an eye, a nose for a nose, an ear for an ear, a tooth for a tooth; wounds qiṣāṣ. Whoever gives it as charity, it is kaffāra for him. Whoever does not judge by what God sent down: those are the ẓālimūn.</w:t>
      </w:r>
    </w:p>
    <w:p>
      <w:pPr>
        <w:spacing w:after="160"/>
      </w:pPr>
      <w:r>
        <w:rPr>
          <w:rFonts w:ascii="Calibri" w:hAnsi="Calibri" w:eastAsia="Calibri"/>
          <w:b w:val="0"/>
          <w:i w:val="0"/>
          <w:color w:val="222222"/>
          <w:sz w:val="22"/>
        </w:rPr>
        <w:t>QB-0118 AGREEMENT with Exod 21:23–25 / Lev 24:19–20 / Deut 19:21 lex talionis. The Quran adds that remitting it as ṣadaqa is an expiation — a mercy-clause not in those three Torah sentences (though later Jewish law knows compounding). 2:178 already had qiṣāṣ with a brother-pardon. 5:45 locates the same architecture inside “We wrote it on them in the Torah.”</w:t>
      </w:r>
    </w:p>
    <w:p>
      <w:pPr>
        <w:pStyle w:val="Heading2"/>
      </w:pPr>
      <w:r>
        <w:rPr>
          <w:rFonts w:ascii="Calibri" w:hAnsi="Calibri"/>
          <w:color w:val="1B3A4B"/>
        </w:rPr>
        <w:t>5:46–47 Jesus and the Injīl</w:t>
      </w:r>
    </w:p>
    <w:p>
      <w:pPr>
        <w:spacing w:after="160"/>
      </w:pPr>
      <w:r>
        <w:rPr>
          <w:rFonts w:ascii="Calibri" w:hAnsi="Calibri" w:eastAsia="Calibri"/>
          <w:b w:val="0"/>
          <w:i w:val="0"/>
          <w:color w:val="222222"/>
          <w:sz w:val="22"/>
        </w:rPr>
        <w:t>We sent in their tracks Jesus son of Mary, confirming what was before him of the Torah. We gave him the Injīl; in it is guidance and light, confirming the Torah, a guidance and admonition for the muttaqīn. Let the people of the Injīl judge by what God sent down in it. Whoever does not judge by what God sent down: those are the fāsiqūn.</w:t>
      </w:r>
    </w:p>
    <w:p>
      <w:pPr>
        <w:spacing w:after="160"/>
      </w:pPr>
      <w:r>
        <w:rPr>
          <w:rFonts w:ascii="Calibri" w:hAnsi="Calibri" w:eastAsia="Calibri"/>
          <w:b w:val="0"/>
          <w:i w:val="0"/>
          <w:color w:val="222222"/>
          <w:sz w:val="22"/>
        </w:rPr>
        <w:t>Three labels in three verses for not judging by what God sent down: kāfirūn (44), ẓālimūn (45), fāsiqūn (47). Do not collapse them too fast; the tradition argues whether they name three groups or three aspects. Level 1 is three different nouns on the same “who does not judge by mā anzala llāh” frame.</w:t>
      </w:r>
    </w:p>
    <w:p>
      <w:pPr>
        <w:spacing w:after="160"/>
      </w:pPr>
      <w:r>
        <w:rPr>
          <w:rFonts w:ascii="Calibri" w:hAnsi="Calibri" w:eastAsia="Calibri"/>
          <w:b w:val="0"/>
          <w:i w:val="0"/>
          <w:color w:val="222222"/>
          <w:sz w:val="22"/>
        </w:rPr>
        <w:t>The people of the Injīl are told to judge by what is in it. That is a present-tense duty aimed at them, parallel to 5:44’s Torah-duty. QCA-0004 / QI-0003: the prior books are not treated here as void paper.</w:t>
      </w:r>
    </w:p>
    <w:p>
      <w:pPr>
        <w:pStyle w:val="Heading2"/>
      </w:pPr>
      <w:r>
        <w:rPr>
          <w:rFonts w:ascii="Calibri" w:hAnsi="Calibri"/>
          <w:color w:val="1B3A4B"/>
        </w:rPr>
        <w:t>5:48 muhaymin; a law and a way for each</w:t>
      </w:r>
    </w:p>
    <w:p>
      <w:pPr>
        <w:spacing w:after="160"/>
      </w:pPr>
      <w:r>
        <w:rPr>
          <w:rFonts w:ascii="Calibri" w:hAnsi="Calibri" w:eastAsia="Calibri"/>
          <w:b w:val="0"/>
          <w:i w:val="0"/>
          <w:color w:val="222222"/>
          <w:sz w:val="22"/>
        </w:rPr>
        <w:t>We sent down to you the Book with truth, confirming what is before it of the Book and muhayminan ʿalayhi. Judge between them by what God sent down; do not follow their desires. For each of you We made a shirʿa and a minhāj. If God had willed He would have made you one ummah; He tests you in what He gave you. Race to the khayrāt. Return is to God; He will tell you about what you differed in.</w:t>
      </w:r>
    </w:p>
    <w:p>
      <w:pPr>
        <w:spacing w:after="160"/>
      </w:pPr>
      <w:r>
        <w:rPr>
          <w:rFonts w:ascii="Calibri" w:hAnsi="Calibri" w:eastAsia="Calibri"/>
          <w:b w:val="0"/>
          <w:i w:val="0"/>
          <w:color w:val="222222"/>
          <w:sz w:val="22"/>
        </w:rPr>
        <w:t>Muhaymin: watcher / trustee / overseer over the prior Book. Not “erases” in this sentence. Confirming + overseeing + then “for each a law and a way” + “if He willed, one ummah.” That last cluster is why this verse is the project’s best single statement of plurality-under-test. It sits in the same surah as 3:19 / 3:85 / 5:3’s perfected-dīn. QI-0004 remains OPEN: these sentences all stand.</w:t>
      </w:r>
    </w:p>
    <w:p>
      <w:pPr>
        <w:spacing w:after="160"/>
      </w:pPr>
      <w:r>
        <w:rPr>
          <w:rFonts w:ascii="Calibri" w:hAnsi="Calibri" w:eastAsia="Calibri"/>
          <w:b w:val="0"/>
          <w:i w:val="0"/>
          <w:color w:val="222222"/>
          <w:sz w:val="22"/>
        </w:rPr>
        <w:t>QB-0119 PARTIAL AGREEMENT with Acts 15 / Rom 2 plurality-of-jurisdiction motifs, and with the Torah’s own “one law for the native and the sojourner” being a different theory (one law, not each-a-law). The Quran here names multiple tracks and a race to the good, with God adjudicating the difference at the return.</w:t>
      </w:r>
    </w:p>
    <w:p>
      <w:pPr>
        <w:pStyle w:val="Heading2"/>
      </w:pPr>
      <w:r>
        <w:rPr>
          <w:rFonts w:ascii="Calibri" w:hAnsi="Calibri"/>
          <w:color w:val="1B3A4B"/>
        </w:rPr>
        <w:t>5:49–50 do not follow their desires; Jāhiliyya judgment</w:t>
      </w:r>
    </w:p>
    <w:p>
      <w:pPr>
        <w:spacing w:after="160"/>
      </w:pPr>
      <w:r>
        <w:rPr>
          <w:rFonts w:ascii="Calibri" w:hAnsi="Calibri" w:eastAsia="Calibri"/>
          <w:b w:val="0"/>
          <w:i w:val="0"/>
          <w:color w:val="222222"/>
          <w:sz w:val="22"/>
        </w:rPr>
        <w:t>Judge by what God sent down. Beware they tempt you off some of it. If they turn away, God wants to hit them for some sin. Is it Jāhiliyya’s judgment they want? Who is better than God in judgment for a people who know?</w:t>
      </w:r>
    </w:p>
    <w:p>
      <w:pPr>
        <w:pStyle w:val="Heading1"/>
      </w:pPr>
      <w:r>
        <w:rPr>
          <w:rFonts w:ascii="Calibri" w:hAnsi="Calibri"/>
          <w:color w:val="1B3A4B"/>
        </w:rPr>
        <w:t>4–9. IDs</w:t>
      </w:r>
    </w:p>
    <w:tbl>
      <w:tblPr>
        <w:tblStyle w:val="TableGrid"/>
        <w:tblW w:type="auto" w:w="0"/>
        <w:tblLook w:firstColumn="1" w:firstRow="1" w:lastColumn="0" w:lastRow="0" w:noHBand="0" w:noVBand="1" w:val="04A0"/>
      </w:tblPr>
      <w:tblGrid>
        <w:gridCol w:w="3264"/>
        <w:gridCol w:w="3264"/>
        <w:gridCol w:w="3264"/>
      </w:tblGrid>
      <w:tr>
        <w:tc>
          <w:tcPr>
            <w:tcW w:type="dxa" w:w="3264"/>
            <w:shd w:fill="1B3A4B" w:val="clear"/>
          </w:tcPr>
          <w:p>
            <w:r/>
            <w:r>
              <w:rPr>
                <w:rFonts w:ascii="Calibri" w:hAnsi="Calibri" w:eastAsia="Calibri"/>
                <w:b/>
                <w:i w:val="0"/>
                <w:color w:val="FFFFFF"/>
                <w:sz w:val="18"/>
              </w:rPr>
              <w:t>QB</w:t>
            </w:r>
          </w:p>
        </w:tc>
        <w:tc>
          <w:tcPr>
            <w:tcW w:type="dxa" w:w="3264"/>
            <w:shd w:fill="1B3A4B" w:val="clear"/>
          </w:tcPr>
          <w:p>
            <w:r/>
            <w:r>
              <w:rPr>
                <w:rFonts w:ascii="Calibri" w:hAnsi="Calibri" w:eastAsia="Calibri"/>
                <w:b/>
                <w:i w:val="0"/>
                <w:color w:val="FFFFFF"/>
                <w:sz w:val="18"/>
              </w:rPr>
              <w:t>Item</w:t>
            </w:r>
          </w:p>
        </w:tc>
        <w:tc>
          <w:tcPr>
            <w:tcW w:type="dxa" w:w="3264"/>
            <w:shd w:fill="1B3A4B" w:val="clear"/>
          </w:tcPr>
          <w:p>
            <w:r/>
            <w:r>
              <w:rPr>
                <w:rFonts w:ascii="Calibri" w:hAnsi="Calibri" w:eastAsia="Calibri"/>
                <w:b/>
                <w:i w:val="0"/>
                <w:color w:val="FFFFFF"/>
                <w:sz w:val="18"/>
              </w:rPr>
              <w:t>Call</w:t>
            </w:r>
          </w:p>
        </w:tc>
      </w:tr>
      <w:tr>
        <w:tc>
          <w:tcPr>
            <w:tcW w:type="dxa" w:w="3264"/>
          </w:tcPr>
          <w:p>
            <w:r/>
            <w:r>
              <w:rPr>
                <w:rFonts w:ascii="Calibri" w:hAnsi="Calibri" w:eastAsia="Calibri"/>
                <w:b w:val="0"/>
                <w:i w:val="0"/>
                <w:color w:val="222222"/>
                <w:sz w:val="18"/>
              </w:rPr>
              <w:t>QB-0118</w:t>
            </w:r>
          </w:p>
        </w:tc>
        <w:tc>
          <w:tcPr>
            <w:tcW w:type="dxa" w:w="3264"/>
          </w:tcPr>
          <w:p>
            <w:r/>
            <w:r>
              <w:rPr>
                <w:rFonts w:ascii="Calibri" w:hAnsi="Calibri" w:eastAsia="Calibri"/>
                <w:b w:val="0"/>
                <w:i w:val="0"/>
                <w:color w:val="222222"/>
                <w:sz w:val="18"/>
              </w:rPr>
              <w:t>Nafs for nafs; eye for eye in the Torah</w:t>
            </w:r>
          </w:p>
        </w:tc>
        <w:tc>
          <w:tcPr>
            <w:tcW w:type="dxa" w:w="3264"/>
          </w:tcPr>
          <w:p>
            <w:r/>
            <w:r>
              <w:rPr>
                <w:rFonts w:ascii="Calibri" w:hAnsi="Calibri" w:eastAsia="Calibri"/>
                <w:b w:val="0"/>
                <w:i w:val="0"/>
                <w:color w:val="222222"/>
                <w:sz w:val="18"/>
              </w:rPr>
              <w:t>AGREEMENT with Exod 21 / Lev 24 / Deut 19; remitting is kaffara here</w:t>
            </w:r>
          </w:p>
        </w:tc>
      </w:tr>
      <w:tr>
        <w:tc>
          <w:tcPr>
            <w:tcW w:type="dxa" w:w="3264"/>
            <w:shd w:fill="F4F1EA" w:val="clear"/>
          </w:tcPr>
          <w:p>
            <w:r/>
            <w:r>
              <w:rPr>
                <w:rFonts w:ascii="Calibri" w:hAnsi="Calibri" w:eastAsia="Calibri"/>
                <w:b w:val="0"/>
                <w:i w:val="0"/>
                <w:color w:val="222222"/>
                <w:sz w:val="18"/>
              </w:rPr>
              <w:t>QB-0119</w:t>
            </w:r>
          </w:p>
        </w:tc>
        <w:tc>
          <w:tcPr>
            <w:tcW w:type="dxa" w:w="3264"/>
            <w:shd w:fill="F4F1EA" w:val="clear"/>
          </w:tcPr>
          <w:p>
            <w:r/>
            <w:r>
              <w:rPr>
                <w:rFonts w:ascii="Calibri" w:hAnsi="Calibri" w:eastAsia="Calibri"/>
                <w:b w:val="0"/>
                <w:i w:val="0"/>
                <w:color w:val="222222"/>
                <w:sz w:val="18"/>
              </w:rPr>
              <w:t>Each a shir'a and minhaj; if He willed one ummah</w:t>
            </w:r>
          </w:p>
        </w:tc>
        <w:tc>
          <w:tcPr>
            <w:tcW w:type="dxa" w:w="3264"/>
            <w:shd w:fill="F4F1EA" w:val="clear"/>
          </w:tcPr>
          <w:p>
            <w:r/>
            <w:r>
              <w:rPr>
                <w:rFonts w:ascii="Calibri" w:hAnsi="Calibri" w:eastAsia="Calibri"/>
                <w:b w:val="0"/>
                <w:i w:val="0"/>
                <w:color w:val="222222"/>
                <w:sz w:val="18"/>
              </w:rPr>
              <w:t>PARTIAL AGREEMENT with jurisdictional plurality; CONTRAST with one-law-for-all Torah formula</w:t>
            </w:r>
          </w:p>
        </w:tc>
      </w:tr>
    </w:tbl>
    <w:p/>
    <w:tbl>
      <w:tblPr>
        <w:tblStyle w:val="TableGrid"/>
        <w:tblW w:type="auto" w:w="0"/>
        <w:tblLook w:firstColumn="1" w:firstRow="1" w:lastColumn="0" w:lastRow="0" w:noHBand="0" w:noVBand="1" w:val="04A0"/>
      </w:tblPr>
      <w:tblGrid>
        <w:gridCol w:w="4896"/>
        <w:gridCol w:w="4896"/>
      </w:tblGrid>
      <w:tr>
        <w:tc>
          <w:tcPr>
            <w:tcW w:type="dxa" w:w="4896"/>
            <w:shd w:fill="1B3A4B" w:val="clear"/>
          </w:tcPr>
          <w:p>
            <w:r/>
            <w:r>
              <w:rPr>
                <w:rFonts w:ascii="Calibri" w:hAnsi="Calibri" w:eastAsia="Calibri"/>
                <w:b/>
                <w:i w:val="0"/>
                <w:color w:val="FFFFFF"/>
                <w:sz w:val="18"/>
              </w:rPr>
              <w:t>ID</w:t>
            </w:r>
          </w:p>
        </w:tc>
        <w:tc>
          <w:tcPr>
            <w:tcW w:type="dxa" w:w="4896"/>
            <w:shd w:fill="1B3A4B" w:val="clear"/>
          </w:tcPr>
          <w:p>
            <w:r/>
            <w:r>
              <w:rPr>
                <w:rFonts w:ascii="Calibri" w:hAnsi="Calibri" w:eastAsia="Calibri"/>
                <w:b/>
                <w:i w:val="0"/>
                <w:color w:val="FFFFFF"/>
                <w:sz w:val="18"/>
              </w:rPr>
              <w:t>Title</w:t>
            </w:r>
          </w:p>
        </w:tc>
      </w:tr>
      <w:tr>
        <w:tc>
          <w:tcPr>
            <w:tcW w:type="dxa" w:w="4896"/>
          </w:tcPr>
          <w:p>
            <w:r/>
            <w:r>
              <w:rPr>
                <w:rFonts w:ascii="Calibri" w:hAnsi="Calibri" w:eastAsia="Calibri"/>
                <w:b w:val="0"/>
                <w:i w:val="0"/>
                <w:color w:val="222222"/>
                <w:sz w:val="18"/>
              </w:rPr>
              <w:t>QDISC-0202</w:t>
            </w:r>
          </w:p>
        </w:tc>
        <w:tc>
          <w:tcPr>
            <w:tcW w:type="dxa" w:w="4896"/>
          </w:tcPr>
          <w:p>
            <w:r/>
            <w:r>
              <w:rPr>
                <w:rFonts w:ascii="Calibri" w:hAnsi="Calibri" w:eastAsia="Calibri"/>
                <w:b w:val="0"/>
                <w:i w:val="0"/>
                <w:color w:val="222222"/>
                <w:sz w:val="18"/>
              </w:rPr>
              <w:t>Forum-shopping: if you are given this take it; they have the Torah already</w:t>
            </w:r>
          </w:p>
        </w:tc>
      </w:tr>
      <w:tr>
        <w:tc>
          <w:tcPr>
            <w:tcW w:type="dxa" w:w="4896"/>
            <w:shd w:fill="F4F1EA" w:val="clear"/>
          </w:tcPr>
          <w:p>
            <w:r/>
            <w:r>
              <w:rPr>
                <w:rFonts w:ascii="Calibri" w:hAnsi="Calibri" w:eastAsia="Calibri"/>
                <w:b w:val="0"/>
                <w:i w:val="0"/>
                <w:color w:val="222222"/>
                <w:sz w:val="18"/>
              </w:rPr>
              <w:t>QDISC-0203</w:t>
            </w:r>
          </w:p>
        </w:tc>
        <w:tc>
          <w:tcPr>
            <w:tcW w:type="dxa" w:w="4896"/>
            <w:shd w:fill="F4F1EA" w:val="clear"/>
          </w:tcPr>
          <w:p>
            <w:r/>
            <w:r>
              <w:rPr>
                <w:rFonts w:ascii="Calibri" w:hAnsi="Calibri" w:eastAsia="Calibri"/>
                <w:b w:val="0"/>
                <w:i w:val="0"/>
                <w:color w:val="222222"/>
                <w:sz w:val="18"/>
              </w:rPr>
              <w:t>Torah is guidance and light; prophets and rabbis judged by it; who does not: kafirun</w:t>
            </w:r>
          </w:p>
        </w:tc>
      </w:tr>
      <w:tr>
        <w:tc>
          <w:tcPr>
            <w:tcW w:type="dxa" w:w="4896"/>
          </w:tcPr>
          <w:p>
            <w:r/>
            <w:r>
              <w:rPr>
                <w:rFonts w:ascii="Calibri" w:hAnsi="Calibri" w:eastAsia="Calibri"/>
                <w:b w:val="0"/>
                <w:i w:val="0"/>
                <w:color w:val="222222"/>
                <w:sz w:val="18"/>
              </w:rPr>
              <w:t>QDISC-0204</w:t>
            </w:r>
          </w:p>
        </w:tc>
        <w:tc>
          <w:tcPr>
            <w:tcW w:type="dxa" w:w="4896"/>
          </w:tcPr>
          <w:p>
            <w:r/>
            <w:r>
              <w:rPr>
                <w:rFonts w:ascii="Calibri" w:hAnsi="Calibri" w:eastAsia="Calibri"/>
                <w:b w:val="0"/>
                <w:i w:val="0"/>
                <w:color w:val="222222"/>
                <w:sz w:val="18"/>
              </w:rPr>
              <w:t>Lex talionis written on them; remitting is kaffara; who does not judge: zalimun</w:t>
            </w:r>
          </w:p>
        </w:tc>
      </w:tr>
      <w:tr>
        <w:tc>
          <w:tcPr>
            <w:tcW w:type="dxa" w:w="4896"/>
            <w:shd w:fill="F4F1EA" w:val="clear"/>
          </w:tcPr>
          <w:p>
            <w:r/>
            <w:r>
              <w:rPr>
                <w:rFonts w:ascii="Calibri" w:hAnsi="Calibri" w:eastAsia="Calibri"/>
                <w:b w:val="0"/>
                <w:i w:val="0"/>
                <w:color w:val="222222"/>
                <w:sz w:val="18"/>
              </w:rPr>
              <w:t>QDISC-0205</w:t>
            </w:r>
          </w:p>
        </w:tc>
        <w:tc>
          <w:tcPr>
            <w:tcW w:type="dxa" w:w="4896"/>
            <w:shd w:fill="F4F1EA" w:val="clear"/>
          </w:tcPr>
          <w:p>
            <w:r/>
            <w:r>
              <w:rPr>
                <w:rFonts w:ascii="Calibri" w:hAnsi="Calibri" w:eastAsia="Calibri"/>
                <w:b w:val="0"/>
                <w:i w:val="0"/>
                <w:color w:val="222222"/>
                <w:sz w:val="18"/>
              </w:rPr>
              <w:t>Jesus given the Injil confirming the Torah; people of the Injil must judge by it; who does not: fasiqun</w:t>
            </w:r>
          </w:p>
        </w:tc>
      </w:tr>
      <w:tr>
        <w:tc>
          <w:tcPr>
            <w:tcW w:type="dxa" w:w="4896"/>
          </w:tcPr>
          <w:p>
            <w:r/>
            <w:r>
              <w:rPr>
                <w:rFonts w:ascii="Calibri" w:hAnsi="Calibri" w:eastAsia="Calibri"/>
                <w:b w:val="0"/>
                <w:i w:val="0"/>
                <w:color w:val="222222"/>
                <w:sz w:val="18"/>
              </w:rPr>
              <w:t>QDISC-0206</w:t>
            </w:r>
          </w:p>
        </w:tc>
        <w:tc>
          <w:tcPr>
            <w:tcW w:type="dxa" w:w="4896"/>
          </w:tcPr>
          <w:p>
            <w:r/>
            <w:r>
              <w:rPr>
                <w:rFonts w:ascii="Calibri" w:hAnsi="Calibri" w:eastAsia="Calibri"/>
                <w:b w:val="0"/>
                <w:i w:val="0"/>
                <w:color w:val="222222"/>
                <w:sz w:val="18"/>
              </w:rPr>
              <w:t>This Book confirming and muhaymin; each a law and a way; race to the good</w:t>
            </w:r>
          </w:p>
        </w:tc>
      </w:tr>
    </w:tbl>
    <w:p/>
    <w:p>
      <w:pPr>
        <w:pStyle w:val="Heading1"/>
      </w:pPr>
      <w:r>
        <w:rPr>
          <w:rFonts w:ascii="Calibri" w:hAnsi="Calibri"/>
          <w:color w:val="1B3A4B"/>
        </w:rPr>
        <w:t>21–22. Summary and next</w:t>
      </w:r>
    </w:p>
    <w:p>
      <w:pPr>
        <w:spacing w:after="160"/>
      </w:pPr>
      <w:r>
        <w:rPr>
          <w:rFonts w:ascii="Calibri" w:hAnsi="Calibri" w:eastAsia="Calibri"/>
          <w:b w:val="0"/>
          <w:i w:val="0"/>
          <w:color w:val="222222"/>
          <w:sz w:val="22"/>
        </w:rPr>
        <w:t>The prior books are named as still-binding judging-lights for their people, and this Book as confirming watcher over them, and each community as given a track. That triad is the load-bearing theology of this packet. Next: 5:51–66 (do not take Jews and Christians as awliyāʾ; God’s hand is chained; if they had upheld the Torah and the Injīl).</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libri" w:hAnsi="Calibri" w:eastAsia="Calibri"/>
        <w:b w:val="0"/>
        <w:i w:val="0"/>
        <w:color w:val="8A6D3B"/>
        <w:sz w:val="18"/>
      </w:rPr>
      <w:t xml:space="preserve">LibreOffice OOXML  ·  download from chat  ·  Page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Calibri"/>
        <w:b w:val="0"/>
        <w:i/>
        <w:color w:val="8A6D3B"/>
        <w:sz w:val="18"/>
      </w:rPr>
      <w:t>Quran Research Project  ·  FROZEN v1.0  ·  S005 CP04 vv041-050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S005 CP04 vv041-050</dc:title>
  <dc:subject/>
  <dc:creator>Quran Research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