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S005 — AL-MĀʾIDA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5:51–66 (16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believers, do not take the Jews and the Christians as awliyāʾ; they are awliyāʾ of one another. Whoever of you turns to them is of them. God does not guide the ẓālim people. You see those in whose hearts is a disease racing toward them, saying we fear a turn of fortune. God may bring fatḥ or a command from Him; then they will become regretful of what they hid in themselves. Those who believe will say: are these the ones who swore by God the strongest of their oaths that they were with you? Their works have failed; they have become losers. O believers, whoever of you turns back from his dīn: God will bring a people He loves and who love Him, humble toward the believers, hard toward the disbelievers, striving in God’s way, not fearing the blame of a blamer. That is God’s bounty; He gives it to whom He wills. Your walī is only God and His messenger and those who believe — who establish prayer and give zakāt and they bow. Whoever turns to God and His messenger and those who believe: the ḥizb of God are the overcomers. O believers, do not take as awliyāʾ those who take your dīn in mockery and play from those given the Book before you and the disbelievers. Fear God if you are believers. When you call to prayer they take it in mockery and play. That is because they are a people who do not understand. Say: People of the Book, do you resent us except that we believe in God and what was sent down to us and what was sent down before, and that most of you are fāsiqūn? Say: shall I tell you of worse than that as a repayment with God? Those whom God cursed and was angry with, and made of them apes and pigs, and the ʿabd of ṭāghūt. Those are worse in place and further astray from the even way. When they come to you they say we believe; they have entered with kufr and they have left with it. God knows best what they were hiding. You see many of them racing into sin and aggression and eating the suḥt. How evil is what they were doing. If the rabbāniyyūn and the aḥbār had forbidden them from their sinful speech and their eating of suḥt, how evil is what they were crafting. The Jews said God’s hand is chained. Their hands are chained and they are cursed for what they said. Rather His hands are outspread; He spends as He wills. What was sent down to you from your Lord will increase many of them in rebellion and kufr. We have cast among them enmity and hatred to the Day of Rising. Whenever they kindle a fire for war God extinguishes it. They strive for fasād in the land; God does not love those who work fasād. If the People of the Book had believed and feared, We would have covered their evils and admitted them to Gardens of bliss. If they had upheld the Torah and the Injīl and what was sent down to them from their Lord, they would have eaten from above them and from under their feet. Among them is a balanced ummah; many of them — how evil is what they do.</w:t>
      </w:r>
    </w:p>
    <w:p>
      <w:pPr>
        <w:pStyle w:val="Heading1"/>
      </w:pPr>
      <w:r>
        <w:rPr>
          <w:rFonts w:ascii="Calibri" w:hAnsi="Calibri"/>
          <w:color w:val="1B3A4B"/>
        </w:rPr>
        <w:t>2–3. Investigation</w:t>
      </w:r>
    </w:p>
    <w:p>
      <w:pPr>
        <w:pStyle w:val="Heading2"/>
      </w:pPr>
      <w:r>
        <w:rPr>
          <w:rFonts w:ascii="Calibri" w:hAnsi="Calibri"/>
          <w:color w:val="1B3A4B"/>
        </w:rPr>
        <w:t>5:51–58 awliyāʾ; mockery of the call to prayer</w:t>
      </w:r>
    </w:p>
    <w:p>
      <w:pPr>
        <w:spacing w:after="160"/>
      </w:pPr>
      <w:r>
        <w:rPr>
          <w:rFonts w:ascii="Calibri" w:hAnsi="Calibri" w:eastAsia="Calibri"/>
          <w:b w:val="0"/>
          <w:i w:val="0"/>
          <w:color w:val="222222"/>
          <w:sz w:val="22"/>
        </w:rPr>
        <w:t>Do not take the Jews and the Christians as awliyāʾ; they are awliyāʾ of one another; whoever turns to them is of them. Walī / awliyāʾ ranges across ally, guardian, patron, intimate protector. This project keeps the range and does not flatten the verse into “no courtesy” or into “no treaties.” The diseased-heart party races toward them fearing a turn of fortune. God may bring fatḥ; then they regret. Swearers that they were with you: their works fail.</w:t>
      </w:r>
    </w:p>
    <w:p>
      <w:pPr>
        <w:spacing w:after="160"/>
      </w:pPr>
      <w:r>
        <w:rPr>
          <w:rFonts w:ascii="Calibri" w:hAnsi="Calibri" w:eastAsia="Calibri"/>
          <w:b w:val="0"/>
          <w:i w:val="0"/>
          <w:color w:val="222222"/>
          <w:sz w:val="22"/>
        </w:rPr>
        <w:t>Whoever turns back from his dīn: God will bring a people He loves and who love Him — humble to believers, hard to disbelievers, striving, not fearing blame. Your walī is only God, His messenger, and those who believe, who pray and give zakāt and bow. The ḥizb of God are the overcomers. Do not take as awliyāʾ those who take your dīn as mockery and play — from the Book-people and the disbelievers. When you call to prayer they take it as mockery because they do not understand.</w:t>
      </w:r>
    </w:p>
    <w:p>
      <w:pPr>
        <w:spacing w:after="160"/>
      </w:pPr>
      <w:r>
        <w:rPr>
          <w:rFonts w:ascii="Calibri" w:hAnsi="Calibri" w:eastAsia="Calibri"/>
          <w:b w:val="0"/>
          <w:i w:val="0"/>
          <w:color w:val="222222"/>
          <w:sz w:val="22"/>
        </w:rPr>
        <w:t>5:5 permitted Book-people food and marriage to their chaste women. 5:51 restricts walāya. Both sentences stand in one surah. That is a distinction (table and household vs patronage-alliance), not a cancellation.</w:t>
      </w:r>
    </w:p>
    <w:p>
      <w:pPr>
        <w:spacing w:after="160"/>
      </w:pPr>
      <w:r>
        <w:rPr>
          <w:rFonts w:ascii="Calibri" w:hAnsi="Calibri" w:eastAsia="Calibri"/>
          <w:b w:val="0"/>
          <w:i w:val="0"/>
          <w:color w:val="222222"/>
          <w:sz w:val="22"/>
        </w:rPr>
        <w:t>QB-0120: POSSIBLE RELATIONSHIP with Ezra–Nehemiah’s ban on foreign alliance-marriage and with John 15 / 2 Cor 6 “do not be unequally yoked.” Different fences, same family of problems: how a covenant people treats outside patrons.</w:t>
      </w:r>
    </w:p>
    <w:p>
      <w:pPr>
        <w:pStyle w:val="Heading2"/>
      </w:pPr>
      <w:r>
        <w:rPr>
          <w:rFonts w:ascii="Calibri" w:hAnsi="Calibri"/>
          <w:color w:val="1B3A4B"/>
        </w:rPr>
        <w:t>5:59–63 resent us for believing both sendings; apes and pigs</w:t>
      </w:r>
    </w:p>
    <w:p>
      <w:pPr>
        <w:spacing w:after="160"/>
      </w:pPr>
      <w:r>
        <w:rPr>
          <w:rFonts w:ascii="Calibri" w:hAnsi="Calibri" w:eastAsia="Calibri"/>
          <w:b w:val="0"/>
          <w:i w:val="0"/>
          <w:color w:val="222222"/>
          <w:sz w:val="22"/>
        </w:rPr>
        <w:t>Do you resent us only because we believe in God and what was sent down to us and what was sent down before — and that most of you are fāsiqūn? Worse as repayment: those God cursed and was angry with, and made of them apes and pigs, and the servant of ṭāghūt. They enter saying we believe and leave in kufr. Many race into ithm, ʿudwān, eating suḥt. If the rabbis and scholars had forbidden them, how evil is what they crafted.</w:t>
      </w:r>
    </w:p>
    <w:p>
      <w:pPr>
        <w:spacing w:after="160"/>
      </w:pPr>
      <w:r>
        <w:rPr>
          <w:rFonts w:ascii="Calibri" w:hAnsi="Calibri" w:eastAsia="Calibri"/>
          <w:b w:val="0"/>
          <w:i w:val="0"/>
          <w:color w:val="222222"/>
          <w:sz w:val="22"/>
        </w:rPr>
        <w:t>Apes already appeared at 2:65 (sabbath). Pigs are new in the pair. 7:166 will return the sabbath-apes. Level 1 is a curse-and-transformation sentence aimed at a cursed group, used here as “worse than your resentment.” Do not turn it into a biology claim about living populations.</w:t>
      </w:r>
    </w:p>
    <w:p>
      <w:pPr>
        <w:pStyle w:val="Heading2"/>
      </w:pPr>
      <w:r>
        <w:rPr>
          <w:rFonts w:ascii="Calibri" w:hAnsi="Calibri"/>
          <w:color w:val="1B3A4B"/>
        </w:rPr>
        <w:t>5:64 God’s hand is chained</w:t>
      </w:r>
    </w:p>
    <w:p>
      <w:pPr>
        <w:spacing w:after="160"/>
      </w:pPr>
      <w:r>
        <w:rPr>
          <w:rFonts w:ascii="Calibri" w:hAnsi="Calibri" w:eastAsia="Calibri"/>
          <w:b w:val="0"/>
          <w:i w:val="0"/>
          <w:color w:val="222222"/>
          <w:sz w:val="22"/>
        </w:rPr>
        <w:t>The Jews said God’s hand is chained. Their hands are chained and they are cursed for what they said. Rather His two hands are outspread; He spends as He wills. What was sent down to you increases many of them in ṭughyān and kufr. Enmity and hatred among them to the Rising. Whenever they kindle a war-fire God puts it out. They strive for fasād; God does not love the workers of fasād.</w:t>
      </w:r>
    </w:p>
    <w:p>
      <w:pPr>
        <w:spacing w:after="160"/>
      </w:pPr>
      <w:r>
        <w:rPr>
          <w:rFonts w:ascii="Calibri" w:hAnsi="Calibri" w:eastAsia="Calibri"/>
          <w:b w:val="0"/>
          <w:i w:val="0"/>
          <w:color w:val="222222"/>
          <w:sz w:val="22"/>
        </w:rPr>
        <w:t>QB-0121: POSSIBLE RELATIONSHIP with Israel’s complaint-traditions about withheld blessing (and with later caricatures of divine tightness). The Quran treats “God’s hand is chained” as a slander and answers with two outspread hands that spend. Anthropomorphism of two hands is left standing; later kalām will argue mode. Level 1 is the slander plus the outspread-spending answer.</w:t>
      </w:r>
    </w:p>
    <w:p>
      <w:pPr>
        <w:pStyle w:val="Heading2"/>
      </w:pPr>
      <w:r>
        <w:rPr>
          <w:rFonts w:ascii="Calibri" w:hAnsi="Calibri"/>
          <w:color w:val="1B3A4B"/>
        </w:rPr>
        <w:t>5:65–66 if they had upheld Torah and Injīl</w:t>
      </w:r>
    </w:p>
    <w:p>
      <w:pPr>
        <w:spacing w:after="160"/>
      </w:pPr>
      <w:r>
        <w:rPr>
          <w:rFonts w:ascii="Calibri" w:hAnsi="Calibri" w:eastAsia="Calibri"/>
          <w:b w:val="0"/>
          <w:i w:val="0"/>
          <w:color w:val="222222"/>
          <w:sz w:val="22"/>
        </w:rPr>
        <w:t>If the People of the Book had believed and feared, We would have covered their evils and admitted them to Gardens. If they had upheld (aqāmū) the Torah and the Injīl and what was sent down to them from their Lord, they would have eaten from above them and from under their feet. Among them is an ummah muqtaṣida; many of them — how evil is what they do.</w:t>
      </w:r>
    </w:p>
    <w:p>
      <w:pPr>
        <w:spacing w:after="160"/>
      </w:pPr>
      <w:r>
        <w:rPr>
          <w:rFonts w:ascii="Calibri" w:hAnsi="Calibri" w:eastAsia="Calibri"/>
          <w:b w:val="0"/>
          <w:i w:val="0"/>
          <w:color w:val="222222"/>
          <w:sz w:val="22"/>
        </w:rPr>
        <w:t>Upholding both books plus “what was sent down to them from their Lord” (this sending, in context) is named as the condition of eating from above and below — a plenty-formula. A balanced remnant is conceded again (3:113; 3:199; 4:162; 5:66). QI-0003 / QCA-0004: the prior books are still something that can be upheld, not ash.</w:t>
      </w:r>
    </w:p>
    <w:p>
      <w:pPr>
        <w:spacing w:after="160"/>
      </w:pPr>
      <w:r>
        <w:rPr>
          <w:rFonts w:ascii="Calibri" w:hAnsi="Calibri" w:eastAsia="Calibri"/>
          <w:b w:val="0"/>
          <w:i w:val="0"/>
          <w:color w:val="222222"/>
          <w:sz w:val="22"/>
        </w:rPr>
        <w:t>This sits one packet after 5:44–47’s “judge by the Torah / judge by the Injīl.” Upholding and judging-by are the same file.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QB-0120</w:t>
            </w:r>
          </w:p>
        </w:tc>
        <w:tc>
          <w:tcPr>
            <w:tcW w:type="dxa" w:w="3264"/>
          </w:tcPr>
          <w:p>
            <w:r/>
            <w:r>
              <w:rPr>
                <w:rFonts w:ascii="Calibri" w:hAnsi="Calibri" w:eastAsia="Calibri"/>
                <w:b w:val="0"/>
                <w:i w:val="0"/>
                <w:color w:val="222222"/>
                <w:sz w:val="18"/>
              </w:rPr>
              <w:t>Do not take Jews and Christians as awliya'</w:t>
            </w:r>
          </w:p>
        </w:tc>
        <w:tc>
          <w:tcPr>
            <w:tcW w:type="dxa" w:w="3264"/>
          </w:tcPr>
          <w:p>
            <w:r/>
            <w:r>
              <w:rPr>
                <w:rFonts w:ascii="Calibri" w:hAnsi="Calibri" w:eastAsia="Calibri"/>
                <w:b w:val="0"/>
                <w:i w:val="0"/>
                <w:color w:val="222222"/>
                <w:sz w:val="18"/>
              </w:rPr>
              <w:t>POSSIBLE RELATIONSHIP with covenant-fence texts; 5:5 still permits food and marriage</w:t>
            </w:r>
          </w:p>
        </w:tc>
      </w:tr>
      <w:tr>
        <w:tc>
          <w:tcPr>
            <w:tcW w:type="dxa" w:w="3264"/>
            <w:shd w:fill="F4F1EA" w:val="clear"/>
          </w:tcPr>
          <w:p>
            <w:r/>
            <w:r>
              <w:rPr>
                <w:rFonts w:ascii="Calibri" w:hAnsi="Calibri" w:eastAsia="Calibri"/>
                <w:b w:val="0"/>
                <w:i w:val="0"/>
                <w:color w:val="222222"/>
                <w:sz w:val="18"/>
              </w:rPr>
              <w:t>QB-0121</w:t>
            </w:r>
          </w:p>
        </w:tc>
        <w:tc>
          <w:tcPr>
            <w:tcW w:type="dxa" w:w="3264"/>
            <w:shd w:fill="F4F1EA" w:val="clear"/>
          </w:tcPr>
          <w:p>
            <w:r/>
            <w:r>
              <w:rPr>
                <w:rFonts w:ascii="Calibri" w:hAnsi="Calibri" w:eastAsia="Calibri"/>
                <w:b w:val="0"/>
                <w:i w:val="0"/>
                <w:color w:val="222222"/>
                <w:sz w:val="18"/>
              </w:rPr>
              <w:t>God's hand is chained vs two hands outspread</w:t>
            </w:r>
          </w:p>
        </w:tc>
        <w:tc>
          <w:tcPr>
            <w:tcW w:type="dxa" w:w="3264"/>
            <w:shd w:fill="F4F1EA" w:val="clear"/>
          </w:tcPr>
          <w:p>
            <w:r/>
            <w:r>
              <w:rPr>
                <w:rFonts w:ascii="Calibri" w:hAnsi="Calibri" w:eastAsia="Calibri"/>
                <w:b w:val="0"/>
                <w:i w:val="0"/>
                <w:color w:val="222222"/>
                <w:sz w:val="18"/>
              </w:rPr>
              <w:t>POSSIBLE RELATIONSHIP with withheld-blessing complaints; slander answered</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QDISC-0207</w:t>
            </w:r>
          </w:p>
        </w:tc>
        <w:tc>
          <w:tcPr>
            <w:tcW w:type="dxa" w:w="4896"/>
          </w:tcPr>
          <w:p>
            <w:r/>
            <w:r>
              <w:rPr>
                <w:rFonts w:ascii="Calibri" w:hAnsi="Calibri" w:eastAsia="Calibri"/>
                <w:b w:val="0"/>
                <w:i w:val="0"/>
                <w:color w:val="222222"/>
                <w:sz w:val="18"/>
              </w:rPr>
              <w:t>Do not take Jews and Christians as awliya'; they are awliya' of one another</w:t>
            </w:r>
          </w:p>
        </w:tc>
      </w:tr>
      <w:tr>
        <w:tc>
          <w:tcPr>
            <w:tcW w:type="dxa" w:w="4896"/>
            <w:shd w:fill="F4F1EA" w:val="clear"/>
          </w:tcPr>
          <w:p>
            <w:r/>
            <w:r>
              <w:rPr>
                <w:rFonts w:ascii="Calibri" w:hAnsi="Calibri" w:eastAsia="Calibri"/>
                <w:b w:val="0"/>
                <w:i w:val="0"/>
                <w:color w:val="222222"/>
                <w:sz w:val="18"/>
              </w:rPr>
              <w:t>QDISC-0208</w:t>
            </w:r>
          </w:p>
        </w:tc>
        <w:tc>
          <w:tcPr>
            <w:tcW w:type="dxa" w:w="4896"/>
            <w:shd w:fill="F4F1EA" w:val="clear"/>
          </w:tcPr>
          <w:p>
            <w:r/>
            <w:r>
              <w:rPr>
                <w:rFonts w:ascii="Calibri" w:hAnsi="Calibri" w:eastAsia="Calibri"/>
                <w:b w:val="0"/>
                <w:i w:val="0"/>
                <w:color w:val="222222"/>
                <w:sz w:val="18"/>
              </w:rPr>
              <w:t>God will replace apostates with a people He loves; your wali is God, messenger, bowing believers</w:t>
            </w:r>
          </w:p>
        </w:tc>
      </w:tr>
      <w:tr>
        <w:tc>
          <w:tcPr>
            <w:tcW w:type="dxa" w:w="4896"/>
          </w:tcPr>
          <w:p>
            <w:r/>
            <w:r>
              <w:rPr>
                <w:rFonts w:ascii="Calibri" w:hAnsi="Calibri" w:eastAsia="Calibri"/>
                <w:b w:val="0"/>
                <w:i w:val="0"/>
                <w:color w:val="222222"/>
                <w:sz w:val="18"/>
              </w:rPr>
              <w:t>QDISC-0209</w:t>
            </w:r>
          </w:p>
        </w:tc>
        <w:tc>
          <w:tcPr>
            <w:tcW w:type="dxa" w:w="4896"/>
          </w:tcPr>
          <w:p>
            <w:r/>
            <w:r>
              <w:rPr>
                <w:rFonts w:ascii="Calibri" w:hAnsi="Calibri" w:eastAsia="Calibri"/>
                <w:b w:val="0"/>
                <w:i w:val="0"/>
                <w:color w:val="222222"/>
                <w:sz w:val="18"/>
              </w:rPr>
              <w:t>Do not take mockers of the prayer-call as awliya'</w:t>
            </w:r>
          </w:p>
        </w:tc>
      </w:tr>
      <w:tr>
        <w:tc>
          <w:tcPr>
            <w:tcW w:type="dxa" w:w="4896"/>
            <w:shd w:fill="F4F1EA" w:val="clear"/>
          </w:tcPr>
          <w:p>
            <w:r/>
            <w:r>
              <w:rPr>
                <w:rFonts w:ascii="Calibri" w:hAnsi="Calibri" w:eastAsia="Calibri"/>
                <w:b w:val="0"/>
                <w:i w:val="0"/>
                <w:color w:val="222222"/>
                <w:sz w:val="18"/>
              </w:rPr>
              <w:t>QDISC-0210</w:t>
            </w:r>
          </w:p>
        </w:tc>
        <w:tc>
          <w:tcPr>
            <w:tcW w:type="dxa" w:w="4896"/>
            <w:shd w:fill="F4F1EA" w:val="clear"/>
          </w:tcPr>
          <w:p>
            <w:r/>
            <w:r>
              <w:rPr>
                <w:rFonts w:ascii="Calibri" w:hAnsi="Calibri" w:eastAsia="Calibri"/>
                <w:b w:val="0"/>
                <w:i w:val="0"/>
                <w:color w:val="222222"/>
                <w:sz w:val="18"/>
              </w:rPr>
              <w:t>Resented for believing both sendings; apes and pigs curse-memory; rabbis did not forbid suht</w:t>
            </w:r>
          </w:p>
        </w:tc>
      </w:tr>
      <w:tr>
        <w:tc>
          <w:tcPr>
            <w:tcW w:type="dxa" w:w="4896"/>
          </w:tcPr>
          <w:p>
            <w:r/>
            <w:r>
              <w:rPr>
                <w:rFonts w:ascii="Calibri" w:hAnsi="Calibri" w:eastAsia="Calibri"/>
                <w:b w:val="0"/>
                <w:i w:val="0"/>
                <w:color w:val="222222"/>
                <w:sz w:val="18"/>
              </w:rPr>
              <w:t>QDISC-0211</w:t>
            </w:r>
          </w:p>
        </w:tc>
        <w:tc>
          <w:tcPr>
            <w:tcW w:type="dxa" w:w="4896"/>
          </w:tcPr>
          <w:p>
            <w:r/>
            <w:r>
              <w:rPr>
                <w:rFonts w:ascii="Calibri" w:hAnsi="Calibri" w:eastAsia="Calibri"/>
                <w:b w:val="0"/>
                <w:i w:val="0"/>
                <w:color w:val="222222"/>
                <w:sz w:val="18"/>
              </w:rPr>
              <w:t>They said God's hand is chained; His hands are outspread; He spends</w:t>
            </w:r>
          </w:p>
        </w:tc>
      </w:tr>
      <w:tr>
        <w:tc>
          <w:tcPr>
            <w:tcW w:type="dxa" w:w="4896"/>
            <w:shd w:fill="F4F1EA" w:val="clear"/>
          </w:tcPr>
          <w:p>
            <w:r/>
            <w:r>
              <w:rPr>
                <w:rFonts w:ascii="Calibri" w:hAnsi="Calibri" w:eastAsia="Calibri"/>
                <w:b w:val="0"/>
                <w:i w:val="0"/>
                <w:color w:val="222222"/>
                <w:sz w:val="18"/>
              </w:rPr>
              <w:t>QDISC-0212</w:t>
            </w:r>
          </w:p>
        </w:tc>
        <w:tc>
          <w:tcPr>
            <w:tcW w:type="dxa" w:w="4896"/>
            <w:shd w:fill="F4F1EA" w:val="clear"/>
          </w:tcPr>
          <w:p>
            <w:r/>
            <w:r>
              <w:rPr>
                <w:rFonts w:ascii="Calibri" w:hAnsi="Calibri" w:eastAsia="Calibri"/>
                <w:b w:val="0"/>
                <w:i w:val="0"/>
                <w:color w:val="222222"/>
                <w:sz w:val="18"/>
              </w:rPr>
              <w:t>If they had upheld Torah, Injil, and what was sent down: eat from above and below; a balanced remnant</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Walāya toward Jews and Christians is barred in the same surah that opened their food and their chaste women. Mockery of the ṣalāh-call is named as the reason a second time. “God’s hand is chained” is answered with two spending hands. Upholding Torah and Injīl is still offered as the path to plenty, with a balanced remnant conceded. Next: 5:67–86 (convey what was sent down; those who say God is the Messiah; nearest in affection those who say we are Christians).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S005 CP05 vv051-066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S005 CP05 vv051-066</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