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CP10 (SURAH CLOSE)</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9:111–129 (19 verses). S009 complete 1–129.</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God has purchased from the believers their persons and their property: they have the Garden. They fight in God’s path: they kill and are killed. A promise binding on Him in the Tawrāt and the Injīl and the Quran. Who is more faithful to his compact than God? Rejoice in the bargain you have made. That is the great triumph.</w:t>
      </w:r>
    </w:p>
    <w:p>
      <w:pPr>
        <w:spacing w:after="160"/>
      </w:pPr>
      <w:r>
        <w:rPr>
          <w:rFonts w:ascii="Calibri" w:hAnsi="Calibri" w:eastAsia="Calibri"/>
          <w:b w:val="0"/>
          <w:i w:val="0"/>
          <w:color w:val="222222"/>
          <w:sz w:val="22"/>
        </w:rPr>
        <w:t>Those who turn, who worship, who praise, who travel, who bow, who prostrate, who bid the right and forbid the wrong, who keep God’s limits — give good news to the believers.</w:t>
      </w:r>
    </w:p>
    <w:p>
      <w:pPr>
        <w:spacing w:after="160"/>
      </w:pPr>
      <w:r>
        <w:rPr>
          <w:rFonts w:ascii="Calibri" w:hAnsi="Calibri" w:eastAsia="Calibri"/>
          <w:b w:val="0"/>
          <w:i w:val="0"/>
          <w:color w:val="222222"/>
          <w:sz w:val="22"/>
        </w:rPr>
        <w:t>It is not for the Prophet and those who believed to ask forgiveness for the associators, even if they were near of kin, after it has become clear to them that they are companions of Hell. Abraham’s asking forgiveness for his father was only because of a promise he had promised him. When it became clear to him that he was an enemy of God, he dissociated from him. Abraham was tender-hearted, forbearing. God would not send a people astray after He has guided them until He makes clear to them what they should fear. God is of all things Knowing. God — His is the kingdom of the heavens and the earth. He gives life and causes death. You have besides God no friend and no helper.</w:t>
      </w:r>
    </w:p>
    <w:p>
      <w:pPr>
        <w:spacing w:after="160"/>
      </w:pPr>
      <w:r>
        <w:rPr>
          <w:rFonts w:ascii="Calibri" w:hAnsi="Calibri" w:eastAsia="Calibri"/>
          <w:b w:val="0"/>
          <w:i w:val="0"/>
          <w:color w:val="222222"/>
          <w:sz w:val="22"/>
        </w:rPr>
        <w:t>God has turned to the Prophet and the emigrants and the helpers who followed him in the hour of difficulty, after the hearts of a party of them had almost swerved. Then He turned to them. He is with them Kind, Merciful. And to the three who were left behind, until the earth was strait for them with all its breadth, and their selves were strait for them, and they thought that there is no refuge from God except to Him. Then He turned to them that they might turn. God is the Relenting, the Merciful.</w:t>
      </w:r>
    </w:p>
    <w:p>
      <w:pPr>
        <w:spacing w:after="160"/>
      </w:pPr>
      <w:r>
        <w:rPr>
          <w:rFonts w:ascii="Calibri" w:hAnsi="Calibri" w:eastAsia="Calibri"/>
          <w:b w:val="0"/>
          <w:i w:val="0"/>
          <w:color w:val="222222"/>
          <w:sz w:val="22"/>
        </w:rPr>
        <w:t>O you who believe, fear God and be with the truthful. It was not for the people of the City and those around them of the desert-Arabs to stay behind the Messenger of God or to prefer their selves to his self. That is because they are not hit by thirst or fatigue or hunger in God’s path, nor do they tread a step that enrages the unbelievers, nor do they take from an enemy a taking, except that it is written for them as a righteous deed. God does not waste the wage of the good-doers. They do not spend a spend, small or great, nor cross a valley, except it is written for them, that God may recompense them better than what they were doing.</w:t>
      </w:r>
    </w:p>
    <w:p>
      <w:pPr>
        <w:spacing w:after="160"/>
      </w:pPr>
      <w:r>
        <w:rPr>
          <w:rFonts w:ascii="Calibri" w:hAnsi="Calibri" w:eastAsia="Calibri"/>
          <w:b w:val="0"/>
          <w:i w:val="0"/>
          <w:color w:val="222222"/>
          <w:sz w:val="22"/>
        </w:rPr>
        <w:t>It is not for the believers to go forth all together. Why should not a party from each section of them go forth, that they may become learned in the religion and warn their people when they return to them, that they may beware.</w:t>
      </w:r>
    </w:p>
    <w:p>
      <w:pPr>
        <w:spacing w:after="160"/>
      </w:pPr>
      <w:r>
        <w:rPr>
          <w:rFonts w:ascii="Calibri" w:hAnsi="Calibri" w:eastAsia="Calibri"/>
          <w:b w:val="0"/>
          <w:i w:val="0"/>
          <w:color w:val="222222"/>
          <w:sz w:val="22"/>
        </w:rPr>
        <w:t>O you who believe, fight those who are near you of the unbelievers, and let them find harshness in you. Know that God is with the God-fearing. When a sūra is sent down, some of them say: which of you has this increased in faith? As for those who believe, it has increased them in faith and they rejoice. As for those in whose hearts is disease, it has increased them in filth upon their filth, and they die while they are unbelievers. Do they not see that they are tried every year once or twice? Then they do not turn and they do not remember. When a sūra is sent down, they look at one another: does anyone see you? Then they turn away. God has turned away their hearts, because they are a people who do not understand.</w:t>
      </w:r>
    </w:p>
    <w:p>
      <w:pPr>
        <w:spacing w:after="160"/>
      </w:pPr>
      <w:r>
        <w:rPr>
          <w:rFonts w:ascii="Calibri" w:hAnsi="Calibri" w:eastAsia="Calibri"/>
          <w:b w:val="0"/>
          <w:i w:val="0"/>
          <w:color w:val="222222"/>
          <w:sz w:val="22"/>
        </w:rPr>
        <w:t>There has come to you a Messenger from yourselves. Grievous to him is what you suffer. Anxious over you. To the believers kind, merciful. If they turn away, say: God is sufficient for me. There is no god but He. On Him I have relied. He is Lord of the great Throne.</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111–112 purchase; fight-kill-killed; promise in Tawrat, Injil, Quran; portrait of the purchased. 113–116 no forgiveness-ask for associators even kin; Abraham and his father; God does not send astray after guidance until He makes clear. 117–118 tawba to Prophet, emigrants, helpers in the hour of difficulty; the three left behind until earth and selves were strait. 119–121 with the truthful; City and nearby aʿrāb not to stay behind the Messenger or prefer themselves to him; every thirst, step, spend written. 122 not all go forth; a party stays to learn the din. 123 fight nearby unbelievers; harshness. 124–127 sūra increases faith or filth; they glance and slip away. 128–129 Messenger from yourselves; if they turn, God is sufficient.</w:t>
      </w:r>
    </w:p>
    <w:p>
      <w:pPr>
        <w:pStyle w:val="Heading1"/>
      </w:pPr>
      <w:r>
        <w:rPr>
          <w:rFonts w:ascii="Calibri" w:hAnsi="Calibri"/>
          <w:color w:val="1B3A4B"/>
        </w:rPr>
        <w:t>3. Investigation</w:t>
      </w:r>
    </w:p>
    <w:p>
      <w:pPr>
        <w:pStyle w:val="Heading2"/>
      </w:pPr>
      <w:r>
        <w:rPr>
          <w:rFonts w:ascii="Calibri" w:hAnsi="Calibri"/>
          <w:color w:val="1B3A4B"/>
        </w:rPr>
        <w:t>9:111 the purchase and the three books</w:t>
      </w:r>
    </w:p>
    <w:p>
      <w:pPr>
        <w:spacing w:after="160"/>
      </w:pPr>
      <w:r>
        <w:rPr>
          <w:rFonts w:ascii="Calibri" w:hAnsi="Calibri" w:eastAsia="Calibri"/>
          <w:b w:val="0"/>
          <w:i w:val="0"/>
          <w:color w:val="222222"/>
          <w:sz w:val="22"/>
        </w:rPr>
        <w:t>God bought from the believers their persons and property against the Garden. They fight: kill and are killed. A promise binding on Him in the Tawrāt and the Injīl and the Quran. This is a new 7:157-cluster cousin: the purchase-bargain is said to be written in all three. Same test as 7:157 applies — is that bargain locatable in the books Jews and Christians had. Living snapshot: park a find-test next to Problem_7_157. Do not spend it here.</w:t>
      </w:r>
    </w:p>
    <w:p>
      <w:pPr>
        <w:pStyle w:val="Heading2"/>
      </w:pPr>
      <w:r>
        <w:rPr>
          <w:rFonts w:ascii="Calibri" w:hAnsi="Calibri"/>
          <w:color w:val="1B3A4B"/>
        </w:rPr>
        <w:t>9:113–114 Abraham and his father</w:t>
      </w:r>
    </w:p>
    <w:p>
      <w:pPr>
        <w:spacing w:after="160"/>
      </w:pPr>
      <w:r>
        <w:rPr>
          <w:rFonts w:ascii="Calibri" w:hAnsi="Calibri" w:eastAsia="Calibri"/>
          <w:b w:val="0"/>
          <w:i w:val="0"/>
          <w:color w:val="222222"/>
          <w:sz w:val="22"/>
        </w:rPr>
        <w:t>Not for the Prophet and the believers to ask forgiveness for associators, even kin, after it is clear they are companions of Hell. Abraham’s istighfār for his father was only because of a promise. When it was clear he was God’s enemy, he dissociated (tabarraʾa). Cousin of 9:1 baraʾa and of 9:80 seventy-cap. Kin does not override a clear Fire-verdict.</w:t>
      </w:r>
    </w:p>
    <w:p>
      <w:pPr>
        <w:pStyle w:val="Heading2"/>
      </w:pPr>
      <w:r>
        <w:rPr>
          <w:rFonts w:ascii="Calibri" w:hAnsi="Calibri"/>
          <w:color w:val="1B3A4B"/>
        </w:rPr>
        <w:t>9:117–118 tawba in the hard hour</w:t>
      </w:r>
    </w:p>
    <w:p>
      <w:pPr>
        <w:spacing w:after="160"/>
      </w:pPr>
      <w:r>
        <w:rPr>
          <w:rFonts w:ascii="Calibri" w:hAnsi="Calibri" w:eastAsia="Calibri"/>
          <w:b w:val="0"/>
          <w:i w:val="0"/>
          <w:color w:val="222222"/>
          <w:sz w:val="22"/>
        </w:rPr>
        <w:t>God turned to the Prophet and the emigrants and helpers who followed him in the hour of difficulty, after a party’s hearts almost swerved. And to the three who were left behind until the earth was strait and their selves were strait and they knew there is no refuge from God except to Him. Then He turned that they might turn. Traditional names (Kaʿb and two) are tafsīr. Level 1: three, left behind, then received.</w:t>
      </w:r>
    </w:p>
    <w:p>
      <w:pPr>
        <w:pStyle w:val="Heading2"/>
      </w:pPr>
      <w:r>
        <w:rPr>
          <w:rFonts w:ascii="Calibri" w:hAnsi="Calibri"/>
          <w:color w:val="1B3A4B"/>
        </w:rPr>
        <w:t>9:122 a party stays to learn</w:t>
      </w:r>
    </w:p>
    <w:p>
      <w:pPr>
        <w:spacing w:after="160"/>
      </w:pPr>
      <w:r>
        <w:rPr>
          <w:rFonts w:ascii="Calibri" w:hAnsi="Calibri" w:eastAsia="Calibri"/>
          <w:b w:val="0"/>
          <w:i w:val="0"/>
          <w:color w:val="222222"/>
          <w:sz w:val="22"/>
        </w:rPr>
        <w:t>Not all believers go forth. Why not a party from each section go, that they may understand the religion and warn their people when they return. Mobilization in this surah is not total every time. A learning-remainder is commanded.</w:t>
      </w:r>
    </w:p>
    <w:p>
      <w:pPr>
        <w:pStyle w:val="Heading2"/>
      </w:pPr>
      <w:r>
        <w:rPr>
          <w:rFonts w:ascii="Calibri" w:hAnsi="Calibri"/>
          <w:color w:val="1B3A4B"/>
        </w:rPr>
        <w:t>9:128–129 the last two</w:t>
      </w:r>
    </w:p>
    <w:p>
      <w:pPr>
        <w:spacing w:after="160"/>
      </w:pPr>
      <w:r>
        <w:rPr>
          <w:rFonts w:ascii="Calibri" w:hAnsi="Calibri" w:eastAsia="Calibri"/>
          <w:b w:val="0"/>
          <w:i w:val="0"/>
          <w:color w:val="222222"/>
          <w:sz w:val="22"/>
        </w:rPr>
        <w:t>A Messenger from yourselves. What you suffer is grievous to him. Anxious over you. Kind, merciful to the believers. If they turn away: God is sufficient for me. No god but He. I rely. Lord of the great Throne. The surah that opened with baraʾa and no basmala closes on sufficiency and the Throne.</w:t>
      </w:r>
    </w:p>
    <w:p>
      <w:pPr>
        <w:pStyle w:val="Heading1"/>
      </w:pPr>
      <w:r>
        <w:rPr>
          <w:rFonts w:ascii="Calibri" w:hAnsi="Calibri"/>
          <w:color w:val="1B3A4B"/>
        </w:rPr>
        <w:t>4. Lemmas</w:t>
      </w:r>
    </w:p>
    <w:p>
      <w:pPr>
        <w:spacing w:after="160"/>
      </w:pPr>
      <w:r>
        <w:rPr>
          <w:rFonts w:ascii="Calibri" w:hAnsi="Calibri" w:eastAsia="Calibri"/>
          <w:b w:val="0"/>
          <w:i w:val="0"/>
          <w:color w:val="222222"/>
          <w:sz w:val="22"/>
        </w:rPr>
        <w:t>ishtarā. yaqtulūna wa-yuqtalūn. waʿdan ʿalayhi ḥaqqan fī l-Tawrāti wa-l-Injīli wa-l-Quran. ḥāfiẓūna li-ḥudūd Allāh. yastaghfirū. tabarraʾa. sāʿat al-ʿusra. al-thalāthatu lladhīna khullifū. nafara. li-yatafaqqahū fī l-dīn. ʿazīzun ʿalayhi mā ʿanittum. ḥarīṣun ʿalaykum. ḥasbiya llāh. al-ʿarsh al-ʿaẓīm.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9:111 ishtara ... yaqtuluna wa-yuqtalun</w:t>
            </w:r>
          </w:p>
        </w:tc>
        <w:tc>
          <w:tcPr>
            <w:tcW w:type="dxa" w:w="3264"/>
          </w:tcPr>
          <w:p>
            <w:r/>
            <w:r>
              <w:rPr>
                <w:rFonts w:ascii="Calibri" w:hAnsi="Calibri" w:eastAsia="Calibri"/>
                <w:b w:val="0"/>
                <w:i w:val="0"/>
                <w:color w:val="222222"/>
                <w:sz w:val="18"/>
              </w:rPr>
              <w:t>SI: purchased ... they fight ... they kill and are killed. Haleem: bought ... they fight ... kill and are killed. Pickthall: hath bought ... they fight ... slay and are slain. Arberry: has bought ... they fight ... kill and are killed.</w:t>
            </w:r>
          </w:p>
        </w:tc>
        <w:tc>
          <w:tcPr>
            <w:tcW w:type="dxa" w:w="3264"/>
          </w:tcPr>
          <w:p>
            <w:r/>
            <w:r>
              <w:rPr>
                <w:rFonts w:ascii="Calibri" w:hAnsi="Calibri" w:eastAsia="Calibri"/>
                <w:b w:val="0"/>
                <w:i w:val="0"/>
                <w:color w:val="222222"/>
                <w:sz w:val="18"/>
              </w:rPr>
              <w:t>Bargain: selves and property for the Garden. Both directions of killing.</w:t>
            </w:r>
          </w:p>
        </w:tc>
      </w:tr>
      <w:tr>
        <w:tc>
          <w:tcPr>
            <w:tcW w:type="dxa" w:w="3264"/>
            <w:shd w:fill="F4F1EA" w:val="clear"/>
          </w:tcPr>
          <w:p>
            <w:r/>
            <w:r>
              <w:rPr>
                <w:rFonts w:ascii="Calibri" w:hAnsi="Calibri" w:eastAsia="Calibri"/>
                <w:b w:val="0"/>
                <w:i w:val="0"/>
                <w:color w:val="222222"/>
                <w:sz w:val="18"/>
              </w:rPr>
              <w:t>9:111 fi l-Tawrati wa-l-Injili wa-l-Qur'an</w:t>
            </w:r>
          </w:p>
        </w:tc>
        <w:tc>
          <w:tcPr>
            <w:tcW w:type="dxa" w:w="3264"/>
            <w:shd w:fill="F4F1EA" w:val="clear"/>
          </w:tcPr>
          <w:p>
            <w:r/>
            <w:r>
              <w:rPr>
                <w:rFonts w:ascii="Calibri" w:hAnsi="Calibri" w:eastAsia="Calibri"/>
                <w:b w:val="0"/>
                <w:i w:val="0"/>
                <w:color w:val="222222"/>
                <w:sz w:val="18"/>
              </w:rPr>
              <w:t>All four name Torah, Gospel, Quran.</w:t>
            </w:r>
          </w:p>
        </w:tc>
        <w:tc>
          <w:tcPr>
            <w:tcW w:type="dxa" w:w="3264"/>
            <w:shd w:fill="F4F1EA" w:val="clear"/>
          </w:tcPr>
          <w:p>
            <w:r/>
            <w:r>
              <w:rPr>
                <w:rFonts w:ascii="Calibri" w:hAnsi="Calibri" w:eastAsia="Calibri"/>
                <w:b w:val="0"/>
                <w:i w:val="0"/>
                <w:color w:val="222222"/>
                <w:sz w:val="18"/>
              </w:rPr>
              <w:t>Same three-name file as 7:157. Find-test parked.</w:t>
            </w:r>
          </w:p>
        </w:tc>
      </w:tr>
      <w:tr>
        <w:tc>
          <w:tcPr>
            <w:tcW w:type="dxa" w:w="3264"/>
          </w:tcPr>
          <w:p>
            <w:r/>
            <w:r>
              <w:rPr>
                <w:rFonts w:ascii="Calibri" w:hAnsi="Calibri" w:eastAsia="Calibri"/>
                <w:b w:val="0"/>
                <w:i w:val="0"/>
                <w:color w:val="222222"/>
                <w:sz w:val="18"/>
              </w:rPr>
              <w:t>9:113 la yastaghfira ... uli qurba</w:t>
            </w:r>
          </w:p>
        </w:tc>
        <w:tc>
          <w:tcPr>
            <w:tcW w:type="dxa" w:w="3264"/>
          </w:tcPr>
          <w:p>
            <w:r/>
            <w:r>
              <w:rPr>
                <w:rFonts w:ascii="Calibri" w:hAnsi="Calibri" w:eastAsia="Calibri"/>
                <w:b w:val="0"/>
                <w:i w:val="0"/>
                <w:color w:val="222222"/>
                <w:sz w:val="18"/>
              </w:rPr>
              <w:t>SI: not for the Prophet and those who believe to ask forgiveness for the polytheists, even if they were relatives. Haleem: ... even relatives. Pickthall: ... even though they be their nearest kin. Arberry: ... though they be near kinsmen.</w:t>
            </w:r>
          </w:p>
        </w:tc>
        <w:tc>
          <w:tcPr>
            <w:tcW w:type="dxa" w:w="3264"/>
          </w:tcPr>
          <w:p>
            <w:r/>
            <w:r>
              <w:rPr>
                <w:rFonts w:ascii="Calibri" w:hAnsi="Calibri" w:eastAsia="Calibri"/>
                <w:b w:val="0"/>
                <w:i w:val="0"/>
                <w:color w:val="222222"/>
                <w:sz w:val="18"/>
              </w:rPr>
              <w:t>Kin-limit on istighfar after Fire is clear.</w:t>
            </w:r>
          </w:p>
        </w:tc>
      </w:tr>
      <w:tr>
        <w:tc>
          <w:tcPr>
            <w:tcW w:type="dxa" w:w="3264"/>
            <w:shd w:fill="F4F1EA" w:val="clear"/>
          </w:tcPr>
          <w:p>
            <w:r/>
            <w:r>
              <w:rPr>
                <w:rFonts w:ascii="Calibri" w:hAnsi="Calibri" w:eastAsia="Calibri"/>
                <w:b w:val="0"/>
                <w:i w:val="0"/>
                <w:color w:val="222222"/>
                <w:sz w:val="18"/>
              </w:rPr>
              <w:t>9:122 li-yatafaqqahu fi l-din</w:t>
            </w:r>
          </w:p>
        </w:tc>
        <w:tc>
          <w:tcPr>
            <w:tcW w:type="dxa" w:w="3264"/>
            <w:shd w:fill="F4F1EA" w:val="clear"/>
          </w:tcPr>
          <w:p>
            <w:r/>
            <w:r>
              <w:rPr>
                <w:rFonts w:ascii="Calibri" w:hAnsi="Calibri" w:eastAsia="Calibri"/>
                <w:b w:val="0"/>
                <w:i w:val="0"/>
                <w:color w:val="222222"/>
                <w:sz w:val="18"/>
              </w:rPr>
              <w:t>SI: obtain understanding in the religion. Haleem: gain understanding of the religion. Pickthall: become learned in religion. Arberry: become learned in religion.</w:t>
            </w:r>
          </w:p>
        </w:tc>
        <w:tc>
          <w:tcPr>
            <w:tcW w:type="dxa" w:w="3264"/>
            <w:shd w:fill="F4F1EA" w:val="clear"/>
          </w:tcPr>
          <w:p>
            <w:r/>
            <w:r>
              <w:rPr>
                <w:rFonts w:ascii="Calibri" w:hAnsi="Calibri" w:eastAsia="Calibri"/>
                <w:b w:val="0"/>
                <w:i w:val="0"/>
                <w:color w:val="222222"/>
                <w:sz w:val="18"/>
              </w:rPr>
              <w:t>A remainder stays to learn and warn.</w:t>
            </w:r>
          </w:p>
        </w:tc>
      </w:tr>
      <w:tr>
        <w:tc>
          <w:tcPr>
            <w:tcW w:type="dxa" w:w="3264"/>
          </w:tcPr>
          <w:p>
            <w:r/>
            <w:r>
              <w:rPr>
                <w:rFonts w:ascii="Calibri" w:hAnsi="Calibri" w:eastAsia="Calibri"/>
                <w:b w:val="0"/>
                <w:i w:val="0"/>
                <w:color w:val="222222"/>
                <w:sz w:val="18"/>
              </w:rPr>
              <w:t>9:128 min anfusikum ... harisun 'alaykum</w:t>
            </w:r>
          </w:p>
        </w:tc>
        <w:tc>
          <w:tcPr>
            <w:tcW w:type="dxa" w:w="3264"/>
          </w:tcPr>
          <w:p>
            <w:r/>
            <w:r>
              <w:rPr>
                <w:rFonts w:ascii="Calibri" w:hAnsi="Calibri" w:eastAsia="Calibri"/>
                <w:b w:val="0"/>
                <w:i w:val="0"/>
                <w:color w:val="222222"/>
                <w:sz w:val="18"/>
              </w:rPr>
              <w:t>SI: from among yourselves ... concerned over you. Haleem: from among yourselves ... full of concern. Pickthall: of yourselves ... anxious. Arberry: of yourselves ... anxious over you.</w:t>
            </w:r>
          </w:p>
        </w:tc>
        <w:tc>
          <w:tcPr>
            <w:tcW w:type="dxa" w:w="3264"/>
          </w:tcPr>
          <w:p>
            <w:r/>
            <w:r>
              <w:rPr>
                <w:rFonts w:ascii="Calibri" w:hAnsi="Calibri" w:eastAsia="Calibri"/>
                <w:b w:val="0"/>
                <w:i w:val="0"/>
                <w:color w:val="222222"/>
                <w:sz w:val="18"/>
              </w:rPr>
              <w:t>Closing portrait of the Messenger.</w:t>
            </w:r>
          </w:p>
        </w:tc>
      </w:tr>
    </w:tbl>
    <w:p/>
    <w:p>
      <w:pPr>
        <w:spacing w:after="160"/>
      </w:pPr>
      <w:r>
        <w:rPr>
          <w:rFonts w:ascii="Calibri" w:hAnsi="Calibri" w:eastAsia="Calibri"/>
          <w:b w:val="0"/>
          <w:i w:val="0"/>
          <w:color w:val="222222"/>
          <w:sz w:val="22"/>
        </w:rPr>
        <w:t>Yusuf Ali 9:111 line only: 'The promise of this is to be found in the Torah, the Gospel, and the Quran.'</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Selves and property are sold for the Garden; the fight kills both ways; the bargain is said to stand in three books. Istighfār for associators stops when Fire is clear, kin included; Abraham’s father is the worked example. Tawba reaches the Prophet himself, the two first communities in the hard hour, and three who had been left behind. Not everyone marches; some stay to learn. Nearby unbelievers are to find harshness. A sūra splits: faith up, or filth up. The Messenger is from them, burdened by their suffering, then told: if they turn, God is enough.</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7:157 written with them. Problem_7_157 file. 9:80 seventy. 6:74 Abraham and Āzar already. 19:41–48 parked. QB-0277 purchase promised in Tawrat/Injil/Quran — find-test PARKED with 7:157. QB-0278 istighfar-bar even for kin. QB-0279 tawba includes the Prophet and three left behind. QB-0280 not-all-go-forth vs 9:38–39 go-forth-or-be-replaced — both walked; situation-sorted, not silent naskh.</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QDISC-0489</w:t>
            </w:r>
          </w:p>
        </w:tc>
        <w:tc>
          <w:tcPr>
            <w:tcW w:type="dxa" w:w="4896"/>
          </w:tcPr>
          <w:p>
            <w:r/>
            <w:r>
              <w:rPr>
                <w:rFonts w:ascii="Calibri" w:hAnsi="Calibri" w:eastAsia="Calibri"/>
                <w:b w:val="0"/>
                <w:i w:val="0"/>
                <w:color w:val="222222"/>
                <w:sz w:val="18"/>
              </w:rPr>
              <w:t>God purchased selves and property for the Garden; they kill and are killed</w:t>
            </w:r>
          </w:p>
        </w:tc>
      </w:tr>
      <w:tr>
        <w:tc>
          <w:tcPr>
            <w:tcW w:type="dxa" w:w="4896"/>
            <w:shd w:fill="F4F1EA" w:val="clear"/>
          </w:tcPr>
          <w:p>
            <w:r/>
            <w:r>
              <w:rPr>
                <w:rFonts w:ascii="Calibri" w:hAnsi="Calibri" w:eastAsia="Calibri"/>
                <w:b w:val="0"/>
                <w:i w:val="0"/>
                <w:color w:val="222222"/>
                <w:sz w:val="18"/>
              </w:rPr>
              <w:t>QDISC-0490</w:t>
            </w:r>
          </w:p>
        </w:tc>
        <w:tc>
          <w:tcPr>
            <w:tcW w:type="dxa" w:w="4896"/>
            <w:shd w:fill="F4F1EA" w:val="clear"/>
          </w:tcPr>
          <w:p>
            <w:r/>
            <w:r>
              <w:rPr>
                <w:rFonts w:ascii="Calibri" w:hAnsi="Calibri" w:eastAsia="Calibri"/>
                <w:b w:val="0"/>
                <w:i w:val="0"/>
                <w:color w:val="222222"/>
                <w:sz w:val="18"/>
              </w:rPr>
              <w:t>Promise binding in Tawrat, Injil, and Quran</w:t>
            </w:r>
          </w:p>
        </w:tc>
      </w:tr>
      <w:tr>
        <w:tc>
          <w:tcPr>
            <w:tcW w:type="dxa" w:w="4896"/>
          </w:tcPr>
          <w:p>
            <w:r/>
            <w:r>
              <w:rPr>
                <w:rFonts w:ascii="Calibri" w:hAnsi="Calibri" w:eastAsia="Calibri"/>
                <w:b w:val="0"/>
                <w:i w:val="0"/>
                <w:color w:val="222222"/>
                <w:sz w:val="18"/>
              </w:rPr>
              <w:t>QDISC-0491</w:t>
            </w:r>
          </w:p>
        </w:tc>
        <w:tc>
          <w:tcPr>
            <w:tcW w:type="dxa" w:w="4896"/>
          </w:tcPr>
          <w:p>
            <w:r/>
            <w:r>
              <w:rPr>
                <w:rFonts w:ascii="Calibri" w:hAnsi="Calibri" w:eastAsia="Calibri"/>
                <w:b w:val="0"/>
                <w:i w:val="0"/>
                <w:color w:val="222222"/>
                <w:sz w:val="18"/>
              </w:rPr>
              <w:t>No istighfar for associators even kin once Fire is clear</w:t>
            </w:r>
          </w:p>
        </w:tc>
      </w:tr>
      <w:tr>
        <w:tc>
          <w:tcPr>
            <w:tcW w:type="dxa" w:w="4896"/>
            <w:shd w:fill="F4F1EA" w:val="clear"/>
          </w:tcPr>
          <w:p>
            <w:r/>
            <w:r>
              <w:rPr>
                <w:rFonts w:ascii="Calibri" w:hAnsi="Calibri" w:eastAsia="Calibri"/>
                <w:b w:val="0"/>
                <w:i w:val="0"/>
                <w:color w:val="222222"/>
                <w:sz w:val="18"/>
              </w:rPr>
              <w:t>QDISC-0492</w:t>
            </w:r>
          </w:p>
        </w:tc>
        <w:tc>
          <w:tcPr>
            <w:tcW w:type="dxa" w:w="4896"/>
            <w:shd w:fill="F4F1EA" w:val="clear"/>
          </w:tcPr>
          <w:p>
            <w:r/>
            <w:r>
              <w:rPr>
                <w:rFonts w:ascii="Calibri" w:hAnsi="Calibri" w:eastAsia="Calibri"/>
                <w:b w:val="0"/>
                <w:i w:val="0"/>
                <w:color w:val="222222"/>
                <w:sz w:val="18"/>
              </w:rPr>
              <w:t>Abraham's ask for his father was a promise; then he dissociated</w:t>
            </w:r>
          </w:p>
        </w:tc>
      </w:tr>
      <w:tr>
        <w:tc>
          <w:tcPr>
            <w:tcW w:type="dxa" w:w="4896"/>
          </w:tcPr>
          <w:p>
            <w:r/>
            <w:r>
              <w:rPr>
                <w:rFonts w:ascii="Calibri" w:hAnsi="Calibri" w:eastAsia="Calibri"/>
                <w:b w:val="0"/>
                <w:i w:val="0"/>
                <w:color w:val="222222"/>
                <w:sz w:val="18"/>
              </w:rPr>
              <w:t>QDISC-0493</w:t>
            </w:r>
          </w:p>
        </w:tc>
        <w:tc>
          <w:tcPr>
            <w:tcW w:type="dxa" w:w="4896"/>
          </w:tcPr>
          <w:p>
            <w:r/>
            <w:r>
              <w:rPr>
                <w:rFonts w:ascii="Calibri" w:hAnsi="Calibri" w:eastAsia="Calibri"/>
                <w:b w:val="0"/>
                <w:i w:val="0"/>
                <w:color w:val="222222"/>
                <w:sz w:val="18"/>
              </w:rPr>
              <w:t>Tawba to Prophet, emigrants, helpers in the hard hour; and to the three</w:t>
            </w:r>
          </w:p>
        </w:tc>
      </w:tr>
      <w:tr>
        <w:tc>
          <w:tcPr>
            <w:tcW w:type="dxa" w:w="4896"/>
            <w:shd w:fill="F4F1EA" w:val="clear"/>
          </w:tcPr>
          <w:p>
            <w:r/>
            <w:r>
              <w:rPr>
                <w:rFonts w:ascii="Calibri" w:hAnsi="Calibri" w:eastAsia="Calibri"/>
                <w:b w:val="0"/>
                <w:i w:val="0"/>
                <w:color w:val="222222"/>
                <w:sz w:val="18"/>
              </w:rPr>
              <w:t>QDISC-0494</w:t>
            </w:r>
          </w:p>
        </w:tc>
        <w:tc>
          <w:tcPr>
            <w:tcW w:type="dxa" w:w="4896"/>
            <w:shd w:fill="F4F1EA" w:val="clear"/>
          </w:tcPr>
          <w:p>
            <w:r/>
            <w:r>
              <w:rPr>
                <w:rFonts w:ascii="Calibri" w:hAnsi="Calibri" w:eastAsia="Calibri"/>
                <w:b w:val="0"/>
                <w:i w:val="0"/>
                <w:color w:val="222222"/>
                <w:sz w:val="18"/>
              </w:rPr>
              <w:t>City and a'rab not to stay behind the Messenger or prefer themselves</w:t>
            </w:r>
          </w:p>
        </w:tc>
      </w:tr>
      <w:tr>
        <w:tc>
          <w:tcPr>
            <w:tcW w:type="dxa" w:w="4896"/>
          </w:tcPr>
          <w:p>
            <w:r/>
            <w:r>
              <w:rPr>
                <w:rFonts w:ascii="Calibri" w:hAnsi="Calibri" w:eastAsia="Calibri"/>
                <w:b w:val="0"/>
                <w:i w:val="0"/>
                <w:color w:val="222222"/>
                <w:sz w:val="18"/>
              </w:rPr>
              <w:t>QDISC-0495</w:t>
            </w:r>
          </w:p>
        </w:tc>
        <w:tc>
          <w:tcPr>
            <w:tcW w:type="dxa" w:w="4896"/>
          </w:tcPr>
          <w:p>
            <w:r/>
            <w:r>
              <w:rPr>
                <w:rFonts w:ascii="Calibri" w:hAnsi="Calibri" w:eastAsia="Calibri"/>
                <w:b w:val="0"/>
                <w:i w:val="0"/>
                <w:color w:val="222222"/>
                <w:sz w:val="18"/>
              </w:rPr>
              <w:t>Not all go forth; a party stays to learn the din and warn</w:t>
            </w:r>
          </w:p>
        </w:tc>
      </w:tr>
      <w:tr>
        <w:tc>
          <w:tcPr>
            <w:tcW w:type="dxa" w:w="4896"/>
            <w:shd w:fill="F4F1EA" w:val="clear"/>
          </w:tcPr>
          <w:p>
            <w:r/>
            <w:r>
              <w:rPr>
                <w:rFonts w:ascii="Calibri" w:hAnsi="Calibri" w:eastAsia="Calibri"/>
                <w:b w:val="0"/>
                <w:i w:val="0"/>
                <w:color w:val="222222"/>
                <w:sz w:val="18"/>
              </w:rPr>
              <w:t>QDISC-0496</w:t>
            </w:r>
          </w:p>
        </w:tc>
        <w:tc>
          <w:tcPr>
            <w:tcW w:type="dxa" w:w="4896"/>
            <w:shd w:fill="F4F1EA" w:val="clear"/>
          </w:tcPr>
          <w:p>
            <w:r/>
            <w:r>
              <w:rPr>
                <w:rFonts w:ascii="Calibri" w:hAnsi="Calibri" w:eastAsia="Calibri"/>
                <w:b w:val="0"/>
                <w:i w:val="0"/>
                <w:color w:val="222222"/>
                <w:sz w:val="18"/>
              </w:rPr>
              <w:t>Fight nearby unbelievers; let them find harshness</w:t>
            </w:r>
          </w:p>
        </w:tc>
      </w:tr>
      <w:tr>
        <w:tc>
          <w:tcPr>
            <w:tcW w:type="dxa" w:w="4896"/>
          </w:tcPr>
          <w:p>
            <w:r/>
            <w:r>
              <w:rPr>
                <w:rFonts w:ascii="Calibri" w:hAnsi="Calibri" w:eastAsia="Calibri"/>
                <w:b w:val="0"/>
                <w:i w:val="0"/>
                <w:color w:val="222222"/>
                <w:sz w:val="18"/>
              </w:rPr>
              <w:t>QDISC-0497</w:t>
            </w:r>
          </w:p>
        </w:tc>
        <w:tc>
          <w:tcPr>
            <w:tcW w:type="dxa" w:w="4896"/>
          </w:tcPr>
          <w:p>
            <w:r/>
            <w:r>
              <w:rPr>
                <w:rFonts w:ascii="Calibri" w:hAnsi="Calibri" w:eastAsia="Calibri"/>
                <w:b w:val="0"/>
                <w:i w:val="0"/>
                <w:color w:val="222222"/>
                <w:sz w:val="18"/>
              </w:rPr>
              <w:t>A sura increases faith or filth</w:t>
            </w:r>
          </w:p>
        </w:tc>
      </w:tr>
      <w:tr>
        <w:tc>
          <w:tcPr>
            <w:tcW w:type="dxa" w:w="4896"/>
            <w:shd w:fill="F4F1EA" w:val="clear"/>
          </w:tcPr>
          <w:p>
            <w:r/>
            <w:r>
              <w:rPr>
                <w:rFonts w:ascii="Calibri" w:hAnsi="Calibri" w:eastAsia="Calibri"/>
                <w:b w:val="0"/>
                <w:i w:val="0"/>
                <w:color w:val="222222"/>
                <w:sz w:val="18"/>
              </w:rPr>
              <w:t>QDISC-0498</w:t>
            </w:r>
          </w:p>
        </w:tc>
        <w:tc>
          <w:tcPr>
            <w:tcW w:type="dxa" w:w="4896"/>
            <w:shd w:fill="F4F1EA" w:val="clear"/>
          </w:tcPr>
          <w:p>
            <w:r/>
            <w:r>
              <w:rPr>
                <w:rFonts w:ascii="Calibri" w:hAnsi="Calibri" w:eastAsia="Calibri"/>
                <w:b w:val="0"/>
                <w:i w:val="0"/>
                <w:color w:val="222222"/>
                <w:sz w:val="18"/>
              </w:rPr>
              <w:t>A Messenger from yourselves; if they turn, God is sufficient</w:t>
            </w:r>
          </w:p>
        </w:tc>
      </w:tr>
      <w:tr>
        <w:tc>
          <w:tcPr>
            <w:tcW w:type="dxa" w:w="4896"/>
          </w:tcPr>
          <w:p>
            <w:r/>
            <w:r>
              <w:rPr>
                <w:rFonts w:ascii="Calibri" w:hAnsi="Calibri" w:eastAsia="Calibri"/>
                <w:b w:val="0"/>
                <w:i w:val="0"/>
                <w:color w:val="222222"/>
                <w:sz w:val="18"/>
              </w:rPr>
              <w:t>QB-0277</w:t>
            </w:r>
          </w:p>
        </w:tc>
        <w:tc>
          <w:tcPr>
            <w:tcW w:type="dxa" w:w="4896"/>
          </w:tcPr>
          <w:p>
            <w:r/>
            <w:r>
              <w:rPr>
                <w:rFonts w:ascii="Calibri" w:hAnsi="Calibri" w:eastAsia="Calibri"/>
                <w:b w:val="0"/>
                <w:i w:val="0"/>
                <w:color w:val="222222"/>
                <w:sz w:val="18"/>
              </w:rPr>
              <w:t>9:111 find-test parked with 7:157</w:t>
            </w:r>
          </w:p>
        </w:tc>
      </w:tr>
      <w:tr>
        <w:tc>
          <w:tcPr>
            <w:tcW w:type="dxa" w:w="4896"/>
            <w:shd w:fill="F4F1EA" w:val="clear"/>
          </w:tcPr>
          <w:p>
            <w:r/>
            <w:r>
              <w:rPr>
                <w:rFonts w:ascii="Calibri" w:hAnsi="Calibri" w:eastAsia="Calibri"/>
                <w:b w:val="0"/>
                <w:i w:val="0"/>
                <w:color w:val="222222"/>
                <w:sz w:val="18"/>
              </w:rPr>
              <w:t>QB-0278</w:t>
            </w:r>
          </w:p>
        </w:tc>
        <w:tc>
          <w:tcPr>
            <w:tcW w:type="dxa" w:w="4896"/>
            <w:shd w:fill="F4F1EA" w:val="clear"/>
          </w:tcPr>
          <w:p>
            <w:r/>
            <w:r>
              <w:rPr>
                <w:rFonts w:ascii="Calibri" w:hAnsi="Calibri" w:eastAsia="Calibri"/>
                <w:b w:val="0"/>
                <w:i w:val="0"/>
                <w:color w:val="222222"/>
                <w:sz w:val="18"/>
              </w:rPr>
              <w:t>Kin-limit on istighfar</w:t>
            </w:r>
          </w:p>
        </w:tc>
      </w:tr>
      <w:tr>
        <w:tc>
          <w:tcPr>
            <w:tcW w:type="dxa" w:w="4896"/>
          </w:tcPr>
          <w:p>
            <w:r/>
            <w:r>
              <w:rPr>
                <w:rFonts w:ascii="Calibri" w:hAnsi="Calibri" w:eastAsia="Calibri"/>
                <w:b w:val="0"/>
                <w:i w:val="0"/>
                <w:color w:val="222222"/>
                <w:sz w:val="18"/>
              </w:rPr>
              <w:t>QB-0279</w:t>
            </w:r>
          </w:p>
        </w:tc>
        <w:tc>
          <w:tcPr>
            <w:tcW w:type="dxa" w:w="4896"/>
          </w:tcPr>
          <w:p>
            <w:r/>
            <w:r>
              <w:rPr>
                <w:rFonts w:ascii="Calibri" w:hAnsi="Calibri" w:eastAsia="Calibri"/>
                <w:b w:val="0"/>
                <w:i w:val="0"/>
                <w:color w:val="222222"/>
                <w:sz w:val="18"/>
              </w:rPr>
              <w:t>Tawba includes the Prophet and the three</w:t>
            </w:r>
          </w:p>
        </w:tc>
      </w:tr>
      <w:tr>
        <w:tc>
          <w:tcPr>
            <w:tcW w:type="dxa" w:w="4896"/>
            <w:shd w:fill="F4F1EA" w:val="clear"/>
          </w:tcPr>
          <w:p>
            <w:r/>
            <w:r>
              <w:rPr>
                <w:rFonts w:ascii="Calibri" w:hAnsi="Calibri" w:eastAsia="Calibri"/>
                <w:b w:val="0"/>
                <w:i w:val="0"/>
                <w:color w:val="222222"/>
                <w:sz w:val="18"/>
              </w:rPr>
              <w:t>QB-0280</w:t>
            </w:r>
          </w:p>
        </w:tc>
        <w:tc>
          <w:tcPr>
            <w:tcW w:type="dxa" w:w="4896"/>
            <w:shd w:fill="F4F1EA" w:val="clear"/>
          </w:tcPr>
          <w:p>
            <w:r/>
            <w:r>
              <w:rPr>
                <w:rFonts w:ascii="Calibri" w:hAnsi="Calibri" w:eastAsia="Calibri"/>
                <w:b w:val="0"/>
                <w:i w:val="0"/>
                <w:color w:val="222222"/>
                <w:sz w:val="18"/>
              </w:rPr>
              <w:t>9:122 remainder vs 9:38 total-go — both walked</w:t>
            </w:r>
          </w:p>
        </w:tc>
      </w:tr>
    </w:tbl>
    <w:p/>
    <w:p>
      <w:pPr>
        <w:pStyle w:val="Heading1"/>
      </w:pPr>
      <w:r>
        <w:rPr>
          <w:rFonts w:ascii="Calibri" w:hAnsi="Calibri"/>
          <w:color w:val="1B3A4B"/>
        </w:rPr>
        <w:t>21–22. Surah close / next</w:t>
      </w:r>
    </w:p>
    <w:p>
      <w:pPr>
        <w:spacing w:after="160"/>
      </w:pPr>
      <w:r>
        <w:rPr>
          <w:rFonts w:ascii="Calibri" w:hAnsi="Calibri" w:eastAsia="Calibri"/>
          <w:b w:val="0"/>
          <w:i w:val="0"/>
          <w:color w:val="222222"/>
          <w:sz w:val="22"/>
        </w:rPr>
        <w:t>S009 complete. Opened without basmala, with baraʾa. Closed on ḥasbiya llāh and the Throne. Canonical next: S010 Yūnus 10:1.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CP10 vv111-129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CP10 vv111-129 CLOSE</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