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01 - Master Quran Research Journal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Checkpoint Scope</w:t>
      </w:r>
    </w:p>
    <w:p>
      <w:r>
        <w:t>Checkpoint 010 is the first durable recovery checkpoint inside Master Block 002. It preserves Surah 11:1-123 in full while Master Block 001 (Surahs 1-10) remains frozen and immutable. It does not relabel or rewrite Master Block 001.</w:t>
      </w:r>
    </w:p>
    <w:p>
      <w:pPr>
        <w:pStyle w:val="Heading1"/>
      </w:pPr>
      <w:r>
        <w:t>11:1-24 - Revelation, Worship, Mosaic Book, Literary Challenge</w:t>
      </w:r>
    </w:p>
    <w:p>
      <w:r>
        <w:t>Surah 11 opens by describing revelation as made firm and detailed, calls to exclusive worship and repentance, repeats Muhammad’s dependence as warner, issues the ten-surah challenge, and positively describes the Book of Moses as an imam/guide and mercy.</w:t>
      </w:r>
    </w:p>
    <w:p>
      <w:pPr>
        <w:pStyle w:val="Heading1"/>
      </w:pPr>
      <w:r>
        <w:t>11:25-49 - Noah</w:t>
      </w:r>
    </w:p>
    <w:p>
      <w:r>
        <w:t>Noah preaches monotheism, refuses payment and social exclusion, builds the Ark, and loses an unnamed son who refuses to board and drowns. The Ark rests on al-Jūdī. 11:49 calls the narrative reports of the unseen.</w:t>
      </w:r>
    </w:p>
    <w:p>
      <w:pPr>
        <w:pStyle w:val="Heading1"/>
      </w:pPr>
      <w:r>
        <w:t>11:50-68 - Hūd/ʿĀd and Ṣāliḥ/Thamūd</w:t>
      </w:r>
    </w:p>
    <w:p>
      <w:r>
        <w:t>The surah presents Arabian prophetic cycles. Independent evidence supports pre-Islamic ʿĀd traditions and strongly attests Thamūd, while Hūd, Ṣāliḥ, and the supernatural judgment narratives remain independently unverified.</w:t>
      </w:r>
    </w:p>
    <w:p>
      <w:pPr>
        <w:pStyle w:val="Heading1"/>
      </w:pPr>
      <w:r>
        <w:t>11:69-83 - Abraham and Lot</w:t>
      </w:r>
    </w:p>
    <w:p>
      <w:r>
        <w:t>The Abraham/Lot material closely parallels Genesis 18-19 while preserving important differences, especially whether the visitors ate, Lot’s daughters, Lot’s wife, and the form of destruction.</w:t>
      </w:r>
    </w:p>
    <w:p>
      <w:pPr>
        <w:pStyle w:val="Heading1"/>
      </w:pPr>
      <w:r>
        <w:t>11:84-99 - Shuʿayb/Midian and Moses/Pharaoh</w:t>
      </w:r>
    </w:p>
    <w:p>
      <w:r>
        <w:t>Shuʿayb joins monotheism with commercial justice. The Quran does not identify him with Jethro. Pharaoh’s earthly leadership is transformed into eschatological leadership into Fire.</w:t>
      </w:r>
    </w:p>
    <w:p>
      <w:pPr>
        <w:pStyle w:val="Heading1"/>
      </w:pPr>
      <w:r>
        <w:t>11:100-123 - Judgment, Earlier Scripture, Deeds, Sovereignty</w:t>
      </w:r>
    </w:p>
    <w:p>
      <w:r>
        <w:t>The close of the surah links historical judgment to final judgment, introduces the Fire/Garden duration exception formula, again affirms Moses received the Book, says good deeds remove bad deeds, and intensifies the divine-sovereignty/human-responsibility problem.</w:t>
      </w:r>
    </w:p>
    <w:p>
      <w:pPr>
        <w:pStyle w:val="Heading1"/>
      </w:pPr>
      <w:r>
        <w:t>Checkpoint-Level Findings</w:t>
      </w:r>
    </w:p>
    <w:p>
      <w:pPr>
        <w:pStyle w:val="ListBullet"/>
      </w:pPr>
      <w:r>
        <w:t>QCA-0001 remains open: 11:17 and 11:110 strengthen the positive/nuanced earlier-Scripture dataset and do not state wholesale textual destruction.</w:t>
      </w:r>
    </w:p>
    <w:p>
      <w:pPr>
        <w:pStyle w:val="ListBullet"/>
      </w:pPr>
      <w:r>
        <w:t>No formal QI is created. Guidance/misguidance is a serious cumulative theological tension but not yet a demonstrated logical contradiction.</w:t>
      </w:r>
    </w:p>
    <w:p>
      <w:pPr>
        <w:pStyle w:val="ListBullet"/>
      </w:pPr>
      <w:r>
        <w:t>QB-0192, QB-0199, and QB-0215 preserve source-history refinements rather than simplified harmonization or contradiction claims.</w:t>
      </w:r>
    </w:p>
    <w:p>
      <w:pPr>
        <w:pStyle w:val="ListBullet"/>
      </w:pPr>
      <w:r>
        <w:t>11:120 explicitly states that prophetic narratives strengthen Muhammad’s heart and function as admonition/reminder.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