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09 - Internal Quran Tension Register (QI)</w:t>
      </w:r>
    </w:p>
    <w:p>
      <w:pPr>
        <w:pStyle w:val="Subtitle"/>
      </w:pPr>
      <w:r>
        <w:t>Quran Research Project - Master Block 002 (Surahs 11-20) - Checkpoint 010 Full-Schema Build</w:t>
      </w:r>
    </w:p>
    <w:p>
      <w:pPr>
        <w:pStyle w:val="Subtitle"/>
      </w:pPr>
      <w:r>
        <w:t>Coverage: Surah 11:1-123 | Checkpoint 010 | Built September 19, 2026</w:t>
      </w:r>
    </w:p>
    <w:p>
      <w:pPr>
        <w:pStyle w:val="Heading1"/>
      </w:pPr>
      <w:r>
        <w:t>Checkpoint 010 Status</w:t>
      </w:r>
    </w:p>
    <w:p>
      <w:r>
        <w:t>No formal QI entry is added through Surah 11.</w:t>
      </w:r>
    </w:p>
    <w:p>
      <w:pPr>
        <w:pStyle w:val="Heading2"/>
      </w:pPr>
      <w:r>
        <w:t>Guidance / Misguidance / Human Responsibility</w:t>
      </w:r>
    </w:p>
    <w:p>
      <w:r>
        <w:t>10:99-100; 11:34,36,97,101,118-119 strongly affirm both divine sovereignty over belief and human culpability. Judicial hardening remains a plausible partial model but does not yet resolve every text. Classification: serious cumulative theological/explanatory tension; NOT YET a demonstrated formal contradiction.</w:t>
      </w:r>
    </w:p>
    <w:p>
      <w:pPr>
        <w:pStyle w:val="Heading2"/>
      </w:pPr>
      <w:r>
        <w:t>Fire / Garden Duration</w:t>
      </w:r>
    </w:p>
    <w:p>
      <w:r>
        <w:t>11:106-108 applies parallel abiding formulas and divine-will exceptions to Fire and Garden, with Paradise additionally called an uncut gift. Full-Quran evidence is required before any QI classification.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