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11 - Historical and Textual Research</w:t>
      </w:r>
    </w:p>
    <w:p>
      <w:pPr>
        <w:pStyle w:val="Subtitle"/>
      </w:pPr>
      <w:r>
        <w:t>Quran Research Project - Master Block 002 (Surahs 11-20) - Checkpoint 010 Full-Schema Build</w:t>
      </w:r>
    </w:p>
    <w:p>
      <w:pPr>
        <w:pStyle w:val="Subtitle"/>
      </w:pPr>
      <w:r>
        <w:t>Coverage: Surah 11:1-123 | Checkpoint 010 | Built September 19, 2026</w:t>
      </w:r>
    </w:p>
    <w:p>
      <w:pPr>
        <w:pStyle w:val="Heading1"/>
      </w:pPr>
      <w:r>
        <w:t>Noah’s drowned son</w:t>
      </w:r>
    </w:p>
    <w:p>
      <w:r>
        <w:t>Genesis names Shem, Ham, and Japheth and has all three survive; Quran 11 has an unnamed son refuse the Ark and drown. No secure pre-Quranic direct parallel for the complete mountain/wave/drowning sequence has been established. An additional-son reconciliation is logically possible but textually unspecified.</w:t>
      </w:r>
    </w:p>
    <w:p>
      <w:pPr>
        <w:pStyle w:val="Heading1"/>
      </w:pPr>
      <w:r>
        <w:t>ʿĀd / Hūd</w:t>
      </w:r>
    </w:p>
    <w:p>
      <w:r>
        <w:t>Pre-Islamic Arabian evidence supports a group/tradition named ʿĀd; this does not independently establish Hūd or the supernatural destruction narrative. Current epigraphic geography complicates later simple southern-Arabian placement.</w:t>
      </w:r>
    </w:p>
    <w:p>
      <w:pPr>
        <w:pStyle w:val="Heading1"/>
      </w:pPr>
      <w:r>
        <w:t>Thamūd / Ṣāliḥ</w:t>
      </w:r>
    </w:p>
    <w:p>
      <w:r>
        <w:t>Thamūd is strongly independently attested centuries before Islam. Ṣāliḥ and the miraculous she-camel remain independently unverified.</w:t>
      </w:r>
    </w:p>
    <w:p>
      <w:pPr>
        <w:pStyle w:val="Heading1"/>
      </w:pPr>
      <w:r>
        <w:t>Abraham’s visitors</w:t>
      </w:r>
    </w:p>
    <w:p>
      <w:r>
        <w:t>Genesis 18:8 says the visitors ate. Pre-Islamic Jewish/Christian interpretation contains the idea that angels only appeared to eat or did not truly eat; exact Quranic sequence remains source-history open.</w:t>
      </w:r>
    </w:p>
    <w:p>
      <w:pPr>
        <w:pStyle w:val="Heading1"/>
      </w:pPr>
      <w:r>
        <w:t>Shuʿayb / Midian</w:t>
      </w:r>
    </w:p>
    <w:p>
      <w:r>
        <w:t>Midian is ancient and biblical; Quran does not explicitly identify Shuʿayb with Moses’ father-in-law. Later identification must remain separate.</w:t>
      </w:r>
    </w:p>
    <w:p>
      <w:pPr>
        <w:pStyle w:val="Heading1"/>
      </w:pPr>
      <w:r>
        <w:t>Pharaoh afterlife</w:t>
      </w:r>
    </w:p>
    <w:p>
      <w:r>
        <w:t>Exodus lacks 11:98’s resurrection-Fire scene. Ezekiel gives a later Pharaoh-underworld motif; Second Temple/rabbinic/Syriac materials provide conceptual background but no exact pre-Islamic complete parallel has been securely established.</w:t>
      </w:r>
    </w:p>
    <w:sectPr w:rsidR="00FC693F" w:rsidRPr="0006063C" w:rsidSect="00034616">
      <w:head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