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12 - Source / Tradition / Provenance Ledger</w:t>
      </w:r>
    </w:p>
    <w:p>
      <w:pPr>
        <w:pStyle w:val="Subtitle"/>
      </w:pPr>
      <w:r>
        <w:t>Quran Research Project - Master Block 002 (Surahs 11-20) - Checkpoint 010 Full-Schema Build</w:t>
      </w:r>
    </w:p>
    <w:p>
      <w:pPr>
        <w:pStyle w:val="Subtitle"/>
      </w:pPr>
      <w:r>
        <w:t>Coverage: Surah 11:1-123 | Checkpoint 010 | Built September 19, 2026</w:t>
      </w:r>
    </w:p>
    <w:p>
      <w:pPr>
        <w:pStyle w:val="Heading1"/>
      </w:pPr>
      <w:r>
        <w:t>Checkpoint 010 Provenance Controls</w:t>
      </w:r>
    </w:p>
    <w:p>
      <w:pPr>
        <w:pStyle w:val="ListBullet"/>
      </w:pPr>
      <w:r>
        <w:t>11:42-46: Quranic drowned son is unnamed; Canaan/Yām/fourth-son identifications are later interpretive traditions unless independently sourced.</w:t>
      </w:r>
    </w:p>
    <w:p>
      <w:pPr>
        <w:pStyle w:val="ListBullet"/>
      </w:pPr>
      <w:r>
        <w:t>11:44: al-Jūdī is Quranic; later shrine/localization traditions are secondary.</w:t>
      </w:r>
    </w:p>
    <w:p>
      <w:pPr>
        <w:pStyle w:val="ListBullet"/>
      </w:pPr>
      <w:r>
        <w:t>11:50-68: historical attestation of ʿĀd/Thamūd does not independently authenticate Hūd/Ṣāliḥ or miracles.</w:t>
      </w:r>
    </w:p>
    <w:p>
      <w:pPr>
        <w:pStyle w:val="ListBullet"/>
      </w:pPr>
      <w:r>
        <w:t>11:69-70: Genesis canonical text says the visitors ate; Philo/Josephus and other pre-Islamic interpretive material must be labeled as interpretation, not substituted for Genesis.</w:t>
      </w:r>
    </w:p>
    <w:p>
      <w:pPr>
        <w:pStyle w:val="ListBullet"/>
      </w:pPr>
      <w:r>
        <w:t>11:78: “my daughters” is Quranic; biological/community interpretations are interpretive layers.</w:t>
      </w:r>
    </w:p>
    <w:p>
      <w:pPr>
        <w:pStyle w:val="ListBullet"/>
      </w:pPr>
      <w:r>
        <w:t>11:84-95: Quranic Shuʿayb is not explicitly Jethro; later identification must be labeled.</w:t>
      </w:r>
    </w:p>
    <w:p>
      <w:pPr>
        <w:pStyle w:val="ListBullet"/>
      </w:pPr>
      <w:r>
        <w:t>11:98: distinguish Exodus, Ezekiel, Second Temple, rabbinic, Syriac Christian, Quranic, and later Islamic eschatological layers.</w:t>
      </w:r>
    </w:p>
    <w:p>
      <w:pPr>
        <w:pStyle w:val="ListBullet"/>
      </w:pPr>
      <w:r>
        <w:t>11:110: “disagreement concerning the Book” must not be silently expanded into “the Torah text was completely corrupted.”</w:t>
      </w:r>
    </w:p>
    <w:p>
      <w:pPr>
        <w:pStyle w:val="ListBullet"/>
      </w:pPr>
      <w:r>
        <w:t>No-source-substitution rule remains in force: later explanation may clarify only with supplied chronology/evidence; it cannot replace the Quran’s own wording.</w:t>
      </w:r>
    </w:p>
    <w:sectPr w:rsidR="00FC693F" w:rsidRPr="0006063C" w:rsidSect="00034616">
      <w:head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