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15 - Comprehensive Quran Research Synthesis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Executive Synthesis Through Quran 11:123</w:t>
      </w:r>
    </w:p>
    <w:p>
      <w:r>
        <w:t>Surah 11 uses earlier prophetic histories as a cumulative warning and as support for Muhammad; 11:120 explicitly states that the stories strengthen his heart. The surah combines strong biblical narrative continuity with distinctive Quranic expansions and source-history questions.</w:t>
      </w:r>
    </w:p>
    <w:p>
      <w:pPr>
        <w:pStyle w:val="Heading1"/>
      </w:pPr>
      <w:r>
        <w:t>Earlier Revelation / Taḥrīf</w:t>
      </w:r>
    </w:p>
    <w:p>
      <w:r>
        <w:t>11:17 and 11:110 strengthen the positive/nuanced Mosaic-Book evidence. Disagreement concerning Scripture is explicit; wholesale textual destruction is not stated in these verses.</w:t>
      </w:r>
    </w:p>
    <w:p>
      <w:pPr>
        <w:pStyle w:val="Heading1"/>
      </w:pPr>
      <w:r>
        <w:t>Historical Peoples and Verification</w:t>
      </w:r>
    </w:p>
    <w:p>
      <w:r>
        <w:t>ʿĀd and especially Thamūd have meaningful independent pre-Islamic attestation, but historical existence of a people does not verify the Quranic prophet, miracle, or supernatural judgment.</w:t>
      </w:r>
    </w:p>
    <w:p>
      <w:pPr>
        <w:pStyle w:val="Heading1"/>
      </w:pPr>
      <w:r>
        <w:t>Bible-Quran Relationship</w:t>
      </w:r>
    </w:p>
    <w:p>
      <w:r>
        <w:t>Noah, Abraham, Lot, Moses, and Pharaoh provide dense comparison material. QB-0192 and QB-0199 preserve genuine canonical narrative conflicts with carefully limited reconciliation/source-history conclusions.</w:t>
      </w:r>
    </w:p>
    <w:p>
      <w:pPr>
        <w:pStyle w:val="Heading1"/>
      </w:pPr>
      <w:r>
        <w:t>Divine Sovereignty / Human Responsibility</w:t>
      </w:r>
    </w:p>
    <w:p>
      <w:r>
        <w:t>Surah 11 intensifies both sides: God can determine guidance and communal unity, while humans follow tyrants, reject, wrong themselves, and are judged. No formal QI yet.</w:t>
      </w:r>
    </w:p>
    <w:p>
      <w:pPr>
        <w:pStyle w:val="Heading1"/>
      </w:pPr>
      <w:r>
        <w:t>Salvation / Judgment</w:t>
      </w:r>
    </w:p>
    <w:p>
      <w:r>
        <w:t>Faith, righteous deeds, humility, repentance, mercy, perseverance, recompense, and 11:114’s removal-of-bad-deeds formula all contribute. 11:106-108 opens a full-corpus Hell-duration study.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