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Checkpoint 010 Final Audit Report</w:t>
      </w:r>
    </w:p>
    <w:p>
      <w:r>
        <w:t>Scope: Surah 11:1-123. Production precedent: attached Master Block 001 FINAL FROZEN.</w:t>
      </w:r>
    </w:p>
    <w:p>
      <w:r>
        <w:t>Production-standard compliance: PASS. File naming, title conventions, QDISC field labels, QRQ relationships, Dictionary relationships, dossier relationships, classification notation, and partitioned QDISC architecture were rebuilt against the attached frozen precedent.</w:t>
      </w:r>
    </w:p>
    <w:p>
      <w:r>
        <w:t>QDISC continuity: PASS. QDISC-1081 through QDISC-1234 are present exactly once; no gaps or duplicate permanent IDs.</w:t>
      </w:r>
    </w:p>
    <w:p>
      <w:r>
        <w:t>QDISC schema: PASS. Every record contains Source, Discovery statement, Original-language evidence, Supporting evidence, Evidence classification, Research-question relationships, Dictionary relationships, Dossier relationships, and Explanation/carry-forward.</w:t>
      </w:r>
    </w:p>
    <w:p>
      <w:r>
        <w:t>QRQ control: PASS. QDISC records map to QRQ-0001 through QRQ-0010 rather than conflating QRQ with QCA.</w:t>
      </w:r>
    </w:p>
    <w:p>
      <w:r>
        <w:t>Dictionary control: PASS. Dictionary relationships no longer treat every transliterated Arabic phrase as an established Dictionary entry; new lexical controls are separately recorded in files 02 and 04.</w:t>
      </w:r>
    </w:p>
    <w:p>
      <w:r>
        <w:t>QB continuity: PASS. QB-0174 through QB-0218 are continuous and substantive.</w:t>
      </w:r>
    </w:p>
    <w:p>
      <w:r>
        <w:t>QI/QCA controls: PASS. No formal QI is forced; QCA-0001 through QCA-0005 remain cumulative.</w:t>
      </w:r>
    </w:p>
    <w:p>
      <w:r>
        <w:t>Source chronology: PASS. Canonical, Second Temple, rabbinic, Christian/Syriac, pre-Islamic Arabian, Quranic, and later Islamic layers are kept distinct.</w:t>
      </w:r>
    </w:p>
    <w:p>
      <w:r>
        <w:t>No abbreviation-as-scaling: PASS. QDISC records remain full-schema; storage is partitioned rather than shortened.</w:t>
      </w:r>
    </w:p>
    <w:p>
      <w:r>
        <w:t>Master Block 001 immutability: PASS. The attached frozen block is used as production precedent and is not modified.</w:t>
      </w:r>
    </w:p>
    <w:p>
      <w:r>
        <w:t>Render QA: PASS. All 18 DOCX components rendered successfully to 105 pages; page-boundary scan found 0 clipping/edge hits and the rendered page set was visually reviewed for layout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