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02 - Arabic Language Research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2"/>
      </w:pPr>
      <w:r>
        <w:t>الر (ALR)</w:t>
      </w:r>
    </w:p>
    <w:p>
      <w:r>
        <w:t>Disjointed letters; textually secure but semantically unresolved. Family-marker/compositional hypothesis remains plausible, not decoded.</w:t>
      </w:r>
    </w:p>
    <w:p>
      <w:pPr>
        <w:pStyle w:val="Heading2"/>
      </w:pPr>
      <w:r>
        <w:t>الكتاب المبين (al-kitāb al-mubīn)</w:t>
      </w:r>
    </w:p>
    <w:p>
      <w:r>
        <w:t>The clear/manifest Book; Surah 12 links Book language with Arabic Qurʾān.</w:t>
      </w:r>
    </w:p>
    <w:p>
      <w:pPr>
        <w:pStyle w:val="Heading2"/>
      </w:pPr>
      <w:r>
        <w:t>قرآنا عربيا (qurʾānan ʿarabiyyan)</w:t>
      </w:r>
    </w:p>
    <w:p>
      <w:r>
        <w:t>An Arabic Qurʾān; Arabic is explicitly tied to comprehension in 12:2.</w:t>
      </w:r>
    </w:p>
    <w:p>
      <w:pPr>
        <w:pStyle w:val="Heading2"/>
      </w:pPr>
      <w:r>
        <w:t>تأويل (taʾwīl)</w:t>
      </w:r>
    </w:p>
    <w:p>
      <w:r>
        <w:t>Interpretation/outcome/realization; 12:100 confirms the broader fulfillment sense.</w:t>
      </w:r>
    </w:p>
    <w:p>
      <w:pPr>
        <w:pStyle w:val="Heading2"/>
      </w:pPr>
      <w:r>
        <w:t>رب (rabb)</w:t>
      </w:r>
    </w:p>
    <w:p>
      <w:r>
        <w:t>Context-sensitive: divine Lord in many contexts, but clearly a human master/king in 12:41-42, 50.</w:t>
      </w:r>
    </w:p>
    <w:p>
      <w:pPr>
        <w:pStyle w:val="Heading2"/>
      </w:pPr>
      <w:r>
        <w:t>راود (rāwada)</w:t>
      </w:r>
    </w:p>
    <w:p>
      <w:r>
        <w:t>Persistent solicitation/persuasion; sexual sense arises from context, not the root alone.</w:t>
      </w:r>
    </w:p>
    <w:p>
      <w:pPr>
        <w:pStyle w:val="Heading2"/>
      </w:pPr>
      <w:r>
        <w:t>دين الملك (dīn al-malik)</w:t>
      </w:r>
    </w:p>
    <w:p>
      <w:r>
        <w:t>The king’s law/order/legal system in 12:76; not necessarily “religion” in the narrow modern sense.</w:t>
      </w:r>
    </w:p>
    <w:p>
      <w:pPr>
        <w:pStyle w:val="Heading2"/>
      </w:pPr>
      <w:r>
        <w:t>مسلم (muslim)</w:t>
      </w:r>
    </w:p>
    <w:p>
      <w:r>
        <w:t>12:101 uses muslim for Joseph, supporting Qurʾānic usage as submission to God before Muhammad’s community.</w:t>
      </w:r>
    </w:p>
    <w:p>
      <w:pPr>
        <w:pStyle w:val="Heading2"/>
      </w:pPr>
      <w:r>
        <w:t>كُذِبوا / كُذِّبوا (12:110)</w:t>
      </w:r>
    </w:p>
    <w:p>
      <w:r>
        <w:t>Reading and pronoun ambiguity preserved; multiple early interpretations existed and no single English rendering should erase the variant problem.</w:t>
      </w:r>
    </w:p>
    <w:p>
      <w:r>
        <w:t>Arabic research remains subordinate to the Arabic Qurʾanic text; English translations are tools, not independent textual authorities.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