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05 - Theological and Thematic Architecture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Providence through human action</w:t>
      </w:r>
    </w:p>
    <w:p>
      <w:r>
        <w:t>Human schemes, injustice, temptation, imprisonment, royal service, famine, and reconciliation are repeatedly placed within divine knowledge and purpose.</w:t>
      </w:r>
    </w:p>
    <w:p>
      <w:pPr>
        <w:pStyle w:val="Heading2"/>
      </w:pPr>
      <w:r>
        <w:t>Moral transformation</w:t>
      </w:r>
    </w:p>
    <w:p>
      <w:r>
        <w:t>The brothers move from jealousy and planned wrongdoing to protection of the younger brother, confession, and request for forgiveness.</w:t>
      </w:r>
    </w:p>
    <w:p>
      <w:pPr>
        <w:pStyle w:val="Heading2"/>
      </w:pPr>
      <w:r>
        <w:t>Joseph as Qurʾanic monotheist</w:t>
      </w:r>
    </w:p>
    <w:p>
      <w:r>
        <w:t>The prison sermon makes Joseph an explicit anti-idolatry preacher; 12:101 adds submission and Hereafter language.</w:t>
      </w:r>
    </w:p>
    <w:p>
      <w:pPr>
        <w:pStyle w:val="Heading2"/>
      </w:pPr>
      <w:r>
        <w:t>Vindication</w:t>
      </w:r>
    </w:p>
    <w:p>
      <w:r>
        <w:t>Garment evidence, the women’s admission, the wife’s confession, and the king’s trust create a cumulative vindication arc.</w:t>
      </w:r>
    </w:p>
    <w:p>
      <w:pPr>
        <w:pStyle w:val="Heading2"/>
      </w:pPr>
      <w:r>
        <w:t>Revelation and confirmation</w:t>
      </w:r>
    </w:p>
    <w:p>
      <w:r>
        <w:t>The surah frames itself with Book/Qurʾān language and closes with unseen revelation and taṣdīq of what precedes.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