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07 - Internal Quran Cross-Reference Atlas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ALR/ALMR family</w:t>
      </w:r>
    </w:p>
    <w:p>
      <w:r>
        <w:t>10:1; 11:1; 12:1; 13:1; 14:1; 15:1. Reopen at 13:1.</w:t>
      </w:r>
    </w:p>
    <w:p>
      <w:pPr>
        <w:pStyle w:val="Heading2"/>
      </w:pPr>
      <w:r>
        <w:t>Joseph-Moses wording</w:t>
      </w:r>
    </w:p>
    <w:p>
      <w:r>
        <w:t>12:21 and 28:9 share the clause ʿasā an yanfaʿanā aw nattakhidhahu waladan.</w:t>
      </w:r>
    </w:p>
    <w:p>
      <w:pPr>
        <w:pStyle w:val="Heading2"/>
      </w:pPr>
      <w:r>
        <w:t>Garment architecture</w:t>
      </w:r>
    </w:p>
    <w:p>
      <w:r>
        <w:t>12:18 deception; 12:25-28 vindication; 12:93-96 restoration.</w:t>
      </w:r>
    </w:p>
    <w:p>
      <w:pPr>
        <w:pStyle w:val="Heading2"/>
      </w:pPr>
      <w:r>
        <w:t>Jacob discernment</w:t>
      </w:r>
    </w:p>
    <w:p>
      <w:r>
        <w:t>12:5, 12:6, 12:11-13, 12:18, 12:64, 12:68, 12:86-87, 12:96.</w:t>
      </w:r>
    </w:p>
    <w:p>
      <w:pPr>
        <w:pStyle w:val="Heading2"/>
      </w:pPr>
      <w:r>
        <w:t>Repeated ṣabrun jamīl</w:t>
      </w:r>
    </w:p>
    <w:p>
      <w:r>
        <w:t>12:18 and 12:83 create a deliberate callback under changed moral circumstances.</w:t>
      </w:r>
    </w:p>
    <w:p>
      <w:pPr>
        <w:pStyle w:val="Heading2"/>
      </w:pPr>
      <w:r>
        <w:t>Dream fulfillment</w:t>
      </w:r>
    </w:p>
    <w:p>
      <w:r>
        <w:t>12:4 is explicitly closed by 12:100.</w:t>
      </w:r>
    </w:p>
    <w:p>
      <w:pPr>
        <w:pStyle w:val="Heading2"/>
      </w:pPr>
      <w:r>
        <w:t>Revelation frame</w:t>
      </w:r>
    </w:p>
    <w:p>
      <w:r>
        <w:t>12:1-3 and 12:102-111 frame the Joseph narrative as revelation and confirmation.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