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09 - Internal Tension Register (QI)</w:t>
      </w:r>
    </w:p>
    <w:p>
      <w:pPr>
        <w:jc w:val="center"/>
      </w:pPr>
      <w:r>
        <w:rPr>
          <w:i/>
        </w:rPr>
        <w:t>Surah 12 audit</w:t>
      </w:r>
    </w:p>
    <w:p>
      <w:r/>
      <w:r>
        <w:t>Checkpoint 011 — Surah 12 (Yusuf) — FINAL transcript-reconciled checkpoint from the preserved original research conversation.</w:t>
      </w:r>
    </w:p>
    <w:p>
      <w:r>
        <w:t>Governance: Research Constitution v1.0 FROZEN and existing frozen platform specifications. This artifact does not alter prior frozen research or IDs.</w:t>
      </w:r>
    </w:p>
    <w:p>
      <w:pPr>
        <w:pStyle w:val="Heading1"/>
      </w:pPr>
      <w:r>
        <w:t>Result</w:t>
      </w:r>
    </w:p>
    <w:p>
      <w:r>
        <w:t>No new QI record was established in Surah 12.</w:t>
      </w:r>
    </w:p>
    <w:p>
      <w:pPr>
        <w:pStyle w:val="Heading1"/>
      </w:pPr>
      <w:r>
        <w:t>12:110 preserved ambiguity</w:t>
      </w:r>
    </w:p>
    <w:p>
      <w:r>
        <w:t>QDISC-1326 and QDISC-1330 preserve the qirāʾāt/pronoun/interpretive issue. Because the Arabic and early transmission support multiple readings/interpretations, the project did not manufacture a Quran-vs-Quran contradiction.</w:t>
      </w:r>
    </w:p>
    <w:p>
      <w:pPr>
        <w:pStyle w:val="Heading1"/>
      </w:pPr>
      <w:r>
        <w:t>Ethical-theological OPEN questions</w:t>
      </w:r>
    </w:p>
    <w:p>
      <w:r>
        <w:t>QDISC-1298 and QDISC-1299 preserve the false-theft accusation/manufactured-evidence issue as an open ethical/theological problem, not a QI contradiction.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