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10 - Claims Audit (QCA)</w:t>
      </w:r>
    </w:p>
    <w:p>
      <w:pPr>
        <w:jc w:val="center"/>
      </w:pPr>
      <w:r>
        <w:rPr>
          <w:i/>
        </w:rPr>
        <w:t>Surah 12</w:t>
      </w:r>
    </w:p>
    <w:p>
      <w:r/>
      <w:r>
        <w:t>Checkpoint 011 — Surah 12 (Yusuf) — FINAL transcript-reconciled checkpoint from the preserved original research conversation.</w:t>
      </w:r>
    </w:p>
    <w:p>
      <w:r>
        <w:t>Governance: Research Constitution v1.0 FROZEN and existing frozen platform specifications. This artifact does not alter prior frozen research or IDs.</w:t>
      </w:r>
    </w:p>
    <w:p>
      <w:r>
        <w:t>No new permanent QCA identifier was required solely to fill the category. Existing claims-audit tracks materially affected by Surah 12 include earlier Scripture/taḥrīf, revelation, and claims about Qurʾanic dependence on earlier traditions. Surah 12 evidence supports pre-Islamic availability of numerous motifs but does not by itself demonstrate direct dependence on a specific source.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