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11 - Historical and Textual Research</w:t>
      </w:r>
    </w:p>
    <w:p>
      <w:pPr>
        <w:jc w:val="center"/>
      </w:pPr>
      <w:r>
        <w:rPr>
          <w:i/>
        </w:rPr>
        <w:t>Surah 12 source-history and qiraʾat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Late Antique source environment</w:t>
      </w:r>
    </w:p>
    <w:p>
      <w:r>
        <w:t>Genesis 37-50 is the canonical biblical base. Pre-Islamic Jewish and Christian traditions also expand Joseph’s beauty, temptation, Jacob’s discernment/grief, Benjamin, and other motifs. Each source must remain chronologically labeled.</w:t>
      </w:r>
    </w:p>
    <w:p>
      <w:pPr>
        <w:pStyle w:val="Heading2"/>
      </w:pPr>
      <w:r>
        <w:t>Negative evidence rule</w:t>
      </w:r>
    </w:p>
    <w:p>
      <w:r>
        <w:t>Where no secure pre-Islamic parallel was located (notably Joseph’s scent and the complete shirt-restores-sight mechanism), the conclusion is limited to the surviving investigated evidence and is not proof that no antecedent existed.</w:t>
      </w:r>
    </w:p>
    <w:p>
      <w:pPr>
        <w:pStyle w:val="Heading2"/>
      </w:pPr>
      <w:r>
        <w:t>12:110 textual history</w:t>
      </w:r>
    </w:p>
    <w:p>
      <w:r>
        <w:t>The passive readings kudhibū / kudhdhibū and pronoun interpretations generated early dispute. The checkpoint preserves variants instead of flattening them.</w:t>
      </w:r>
    </w:p>
    <w:p>
      <w:pPr>
        <w:pStyle w:val="Heading2"/>
      </w:pPr>
      <w:r>
        <w:t>Source audit flags</w:t>
      </w:r>
    </w:p>
    <w:p>
      <w:r>
        <w:t>Records with previously weak or secondary sourcing remain marked for primary/academic verification where needed; reconstruction does not silently upgrade them.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