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13 - Narrative Source and Parallel Tracker</w:t>
      </w:r>
    </w:p>
    <w:p>
      <w:pPr>
        <w:jc w:val="center"/>
      </w:pPr>
      <w:r>
        <w:rPr>
          <w:i/>
        </w:rPr>
        <w:t>Surah 12</w:t>
      </w:r>
    </w:p>
    <w:p>
      <w:r/>
      <w:r>
        <w:t>Checkpoint 011 — Surah 12 (Yusuf) — FINAL transcript-reconciled checkpoint from the preserved original research conversation.</w:t>
      </w:r>
    </w:p>
    <w:p>
      <w:r>
        <w:t>Governance: Research Constitution v1.0 FROZEN and existing frozen platform specifications. This artifact does not alter prior frozen research or IDs.</w:t>
      </w:r>
    </w:p>
    <w:p>
      <w:pPr>
        <w:pStyle w:val="Heading2"/>
      </w:pPr>
      <w:r>
        <w:t>Genesis base narrative</w:t>
      </w:r>
    </w:p>
    <w:p>
      <w:r>
        <w:t>Dreams, brothers’ hostility, pit, sale, Egyptian household, sexual accusation, prison dreams, royal dreams, elevation, famine, brothers’ visits, cup episode, recognition, reconciliation.</w:t>
      </w:r>
    </w:p>
    <w:p>
      <w:pPr>
        <w:pStyle w:val="Heading2"/>
      </w:pPr>
      <w:r>
        <w:t>Pre-Islamic interpretive development</w:t>
      </w:r>
    </w:p>
    <w:p>
      <w:r>
        <w:t>Multiple motifs absent or underdeveloped in Genesis occur in pre-Islamic Jewish/Christian interpretation. Their existence demonstrates availability/traditional fluidity, not automatic borrowing.</w:t>
      </w:r>
    </w:p>
    <w:p>
      <w:pPr>
        <w:pStyle w:val="Heading2"/>
      </w:pPr>
      <w:r>
        <w:t>Distinctive Qurʾanic restructuring</w:t>
      </w:r>
    </w:p>
    <w:p>
      <w:r>
        <w:t>Satanic causation; Jacob’s heightened discernment; anonymous brothers; Joseph-Moses adoption wording; public vindication before release; explicit prison anti-idolatry sermon; Qurʾanic moral/theological framing; scent and shirt restoration; explicit revelation/confirmation conclusion.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