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14 - Major-Figure Dossiers</w:t>
      </w:r>
    </w:p>
    <w:p>
      <w:pPr>
        <w:jc w:val="center"/>
      </w:pPr>
      <w:r>
        <w:rPr>
          <w:i/>
        </w:rPr>
        <w:t>Surah 12 updates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Joseph</w:t>
      </w:r>
    </w:p>
    <w:p>
      <w:r>
        <w:t>Divinely chosen dreamer; morally tested; recipient of ḥukm/ʿilm; explicit monotheist preacher; interpreter; administrator; brother; forgiver; Qurʾanic muslim; Hereafter-oriented.</w:t>
      </w:r>
    </w:p>
    <w:p>
      <w:pPr>
        <w:pStyle w:val="Heading2"/>
      </w:pPr>
      <w:r>
        <w:t>Jacob</w:t>
      </w:r>
    </w:p>
    <w:p>
      <w:r>
        <w:t>Father with heightened discernment, grief, hope, God-taught knowledge, and eventual vindication/restoration.</w:t>
      </w:r>
    </w:p>
    <w:p>
      <w:pPr>
        <w:pStyle w:val="Heading2"/>
      </w:pPr>
      <w:r>
        <w:t>Benjamin / Joseph’s brother</w:t>
      </w:r>
    </w:p>
    <w:p>
      <w:r>
        <w:t>Never named in the Qurʾan; central to the moral test; private disclosure occurs before the cup episode, but prior consent to the stratagem is not established.</w:t>
      </w:r>
    </w:p>
    <w:p>
      <w:pPr>
        <w:pStyle w:val="Heading2"/>
      </w:pPr>
      <w:r>
        <w:t>Muhammad</w:t>
      </w:r>
    </w:p>
    <w:p>
      <w:r>
        <w:t>12:102-111 applies the story to Muhammad’s revelatory mission and opposition.</w:t>
      </w:r>
    </w:p>
    <w:p>
      <w:pPr>
        <w:pStyle w:val="Heading2"/>
      </w:pPr>
      <w:r>
        <w:t>God</w:t>
      </w:r>
    </w:p>
    <w:p>
      <w:r>
        <w:t>Sovereign providence, knowledge, protection, mercy, forgiveness, judgment, and control of outcomes recur throughout the narrative.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