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07 - Internal Quran Cross-Reference Atlas</w:t>
      </w:r>
    </w:p>
    <w:p>
      <w:pPr>
        <w:jc w:val="center"/>
      </w:pPr>
      <w:r>
        <w:t>Quran Research Project - Master Block 001 (Surahs 1-10) - Corrected Full-Schema Build</w:t>
      </w:r>
    </w:p>
    <w:p>
      <w:pPr>
        <w:jc w:val="center"/>
      </w:pPr>
      <w:r>
        <w:t>Coverage: Surah 1:1-7; 2:1-286; 3:1-200; 4:1-176; 5:1-120; 6:1-165; 7:1-206; 8:1-75; 9:1-129; 10:1-109 | Built September 14, 2026</w:t>
      </w:r>
    </w:p>
    <w:p/>
    <w:p>
      <w:pPr>
        <w:pStyle w:val="Heading2"/>
      </w:pPr>
      <w:r>
        <w:t>1:6 ↔ 2:2 ↔ 2:38</w:t>
      </w:r>
    </w:p>
    <w:p>
      <w:r>
        <w:t>Request for guidance → Book as guidance → post-fall promise of guidance.</w:t>
      </w:r>
    </w:p>
    <w:p>
      <w:pPr>
        <w:pStyle w:val="Heading2"/>
      </w:pPr>
      <w:r>
        <w:t>1:1-4 ↔ 2:37, 2:52</w:t>
      </w:r>
    </w:p>
    <w:p>
      <w:r>
        <w:t>Mercy introduced as divine identity; mercy/forgiveness enacted toward Adam and Israel.</w:t>
      </w:r>
    </w:p>
    <w:p>
      <w:pPr>
        <w:pStyle w:val="Heading2"/>
      </w:pPr>
      <w:r>
        <w:t>2:3-4 ↔ 2:25 ↔ 2:62</w:t>
      </w:r>
    </w:p>
    <w:p>
      <w:r>
        <w:t>Faith repeatedly appears with conduct/righteous deeds and eschatological reward.</w:t>
      </w:r>
    </w:p>
    <w:p>
      <w:pPr>
        <w:pStyle w:val="Heading2"/>
      </w:pPr>
      <w:r>
        <w:t>2:7 ↔ 2:10 ↔ 2:74</w:t>
      </w:r>
    </w:p>
    <w:p>
      <w:r>
        <w:t>Heart progression: sealed, diseased, hardened.</w:t>
      </w:r>
    </w:p>
    <w:p>
      <w:pPr>
        <w:pStyle w:val="Heading2"/>
      </w:pPr>
      <w:r>
        <w:t>2:4 ↔ 2:41 ↔ 2:44 ↔ 2:53 ↔ 2:63</w:t>
      </w:r>
    </w:p>
    <w:p>
      <w:r>
        <w:t>Earlier revelation: belief required; confirmation; recitation; Mosaic Book/Criterion; command to hold firmly.</w:t>
      </w:r>
    </w:p>
    <w:p>
      <w:pPr>
        <w:pStyle w:val="Heading2"/>
      </w:pPr>
      <w:r>
        <w:t>2:42 ↔ 2:59</w:t>
      </w:r>
    </w:p>
    <w:p>
      <w:r>
        <w:t>Human mishandling of divine truth/instruction: concealment/mixing and substitution; mechanism must remain context-specific.</w:t>
      </w:r>
    </w:p>
    <w:p>
      <w:pPr>
        <w:pStyle w:val="Heading2"/>
      </w:pPr>
      <w:r>
        <w:t>2:30-39 ↔ 2:40-74</w:t>
      </w:r>
    </w:p>
    <w:p>
      <w:r>
        <w:t>Adam/humanity and Israel both follow a pattern of divine gift → command/revelation → failure → judgment/mercy → guidance/accountability.</w:t>
      </w:r>
    </w:p>
    <w:p>
      <w:pPr>
        <w:pStyle w:val="Heading1"/>
      </w:pPr>
      <w:r>
        <w:t>Checkpoint 002 Cross-References</w:t>
      </w:r>
    </w:p>
    <w:p>
      <w:pPr>
        <w:pStyle w:val="Heading2"/>
      </w:pPr>
      <w:r>
        <w:t>2:75 ↔ 2:79 ↔ 2:85 ↔ 2:101 ↔ 2:146 ↔ 2:159 ↔ 2:174</w:t>
      </w:r>
    </w:p>
    <w:p>
      <w:r>
        <w:t>Distinct human mishandling modes: distortion, fabrication, selective rejection, disregard, and concealment.</w:t>
      </w:r>
    </w:p>
    <w:p>
      <w:pPr>
        <w:pStyle w:val="Heading2"/>
      </w:pPr>
      <w:r>
        <w:t>2:41 ↔ 2:89 ↔ 2:91 ↔ 2:101 ↔ 2:113 ↔ 2:121</w:t>
      </w:r>
    </w:p>
    <w:p>
      <w:r>
        <w:t>Earlier-Scripture positive/confirmation stream: what is with them is confirmed; Scripture is recited and can be recited truly.</w:t>
      </w:r>
    </w:p>
    <w:p>
      <w:pPr>
        <w:pStyle w:val="Heading2"/>
      </w:pPr>
      <w:r>
        <w:t>2:87 ↔ 2:136</w:t>
      </w:r>
    </w:p>
    <w:p>
      <w:r>
        <w:t>Jesus as divinely supported figure integrated into prophetic/revelatory continuity.</w:t>
      </w:r>
    </w:p>
    <w:p>
      <w:pPr>
        <w:pStyle w:val="Heading2"/>
      </w:pPr>
      <w:r>
        <w:t>2:87 ↔ 2:97</w:t>
      </w:r>
    </w:p>
    <w:p>
      <w:r>
        <w:t>rūḥ al-qudus associated with Jesus; Jibrīl explicitly named as revelatory agent. Identity relation remains open.</w:t>
      </w:r>
    </w:p>
    <w:p>
      <w:pPr>
        <w:pStyle w:val="Heading2"/>
      </w:pPr>
      <w:r>
        <w:t>2:106 ↔ 2:142-150</w:t>
      </w:r>
    </w:p>
    <w:p>
      <w:r>
        <w:t>General replacement/abrogation language paired with concrete qiblah change.</w:t>
      </w:r>
    </w:p>
    <w:p>
      <w:pPr>
        <w:pStyle w:val="Heading2"/>
      </w:pPr>
      <w:r>
        <w:t>2:129 ↔ 2:151</w:t>
      </w:r>
    </w:p>
    <w:p>
      <w:r>
        <w:t>Abraham/Ishmael prayer for messenger functions echoed in the active messenger's described functions.</w:t>
      </w:r>
    </w:p>
    <w:p>
      <w:pPr>
        <w:pStyle w:val="Heading2"/>
      </w:pPr>
      <w:r>
        <w:t>2:111-112 ↔ 2:124 ↔ 2:134/141 ↔ 2:170 ↔ 2:177</w:t>
      </w:r>
    </w:p>
    <w:p>
      <w:r>
        <w:t>Communal/ancestral identity is repeatedly subordinated to faith, submission, action, and accountability.</w:t>
      </w:r>
    </w:p>
    <w:p>
      <w:pPr>
        <w:pStyle w:val="Heading2"/>
      </w:pPr>
      <w:r>
        <w:t>2:142-150 ↔ 2:177</w:t>
      </w:r>
    </w:p>
    <w:p>
      <w:r>
        <w:t>Qiblah is divinely commanded, yet directional ritual alone is explicitly denied as the essence of righteousness.</w:t>
      </w:r>
    </w:p>
    <w:p>
      <w:pPr>
        <w:pStyle w:val="Heading2"/>
      </w:pPr>
      <w:r>
        <w:t>2:163 ↔ 2:116</w:t>
      </w:r>
    </w:p>
    <w:p>
      <w:r>
        <w:t>Exclusive one-God theology and rejection of God taking a son form an emerging Christological/theological boundary.</w:t>
      </w:r>
    </w:p>
    <w:p>
      <w:pPr>
        <w:pStyle w:val="Heading1"/>
      </w:pPr>
      <w:r>
        <w:t>Checkpoint 003 Cross-References</w:t>
      </w:r>
    </w:p>
    <w:p>
      <w:pPr>
        <w:pStyle w:val="Heading2"/>
      </w:pPr>
      <w:r>
        <w:t>2:178-179 ↔ 2:190-194</w:t>
      </w:r>
    </w:p>
    <w:p>
      <w:r>
        <w:t>Proportionality governs both homicide retaliation and warfare response.</w:t>
      </w:r>
    </w:p>
    <w:p>
      <w:pPr>
        <w:pStyle w:val="Heading2"/>
      </w:pPr>
      <w:r>
        <w:t>2:173 ↔ 2:184-185 ↔ 2:196 ↔ 2:238-239 ↔ 2:286</w:t>
      </w:r>
    </w:p>
    <w:p>
      <w:r>
        <w:t>Necessity/hardship/danger repeatedly modify form of obligation while preserving divine command.</w:t>
      </w:r>
    </w:p>
    <w:p>
      <w:pPr>
        <w:pStyle w:val="Heading2"/>
      </w:pPr>
      <w:r>
        <w:t>2:187 ↔ 2:228 ↔ 2:231-233</w:t>
      </w:r>
    </w:p>
    <w:p>
      <w:r>
        <w:t>Reciprocal garment/rights/consultation/non-harm language must be read together with male darajah and divorce authority.</w:t>
      </w:r>
    </w:p>
    <w:p>
      <w:pPr>
        <w:pStyle w:val="Heading2"/>
      </w:pPr>
      <w:r>
        <w:t>2:180 ↔ 2:234 ↔ 2:240 ↔ future Surah 4</w:t>
      </w:r>
    </w:p>
    <w:p>
      <w:r>
        <w:t>Bequest, widow waiting/provision and future inheritance shares form an abrogation/development watch cluster.</w:t>
      </w:r>
    </w:p>
    <w:p>
      <w:pPr>
        <w:pStyle w:val="Heading2"/>
      </w:pPr>
      <w:r>
        <w:t>2:219 ↔ future 4:43 ↔ future 5:90-91</w:t>
      </w:r>
    </w:p>
    <w:p>
      <w:r>
        <w:t>Intoxicant law progression/abrogation watch.</w:t>
      </w:r>
    </w:p>
    <w:p>
      <w:pPr>
        <w:pStyle w:val="Heading2"/>
      </w:pPr>
      <w:r>
        <w:t>2:190-193 ↔ 2:216-217 ↔ 2:256</w:t>
      </w:r>
    </w:p>
    <w:p>
      <w:r>
        <w:t>Warfare, apostasy consequence and no-compulsion language must be integrated before any forced-conversion conclusion.</w:t>
      </w:r>
    </w:p>
    <w:p>
      <w:pPr>
        <w:pStyle w:val="Heading2"/>
      </w:pPr>
      <w:r>
        <w:t>2:255 ↔ 2:186</w:t>
      </w:r>
    </w:p>
    <w:p>
      <w:r>
        <w:t>God as transcendent sovereign and near responder to prayer.</w:t>
      </w:r>
    </w:p>
    <w:p>
      <w:pPr>
        <w:pStyle w:val="Heading2"/>
      </w:pPr>
      <w:r>
        <w:t>2:243 ↔ 2:259 ↔ 2:260</w:t>
      </w:r>
    </w:p>
    <w:p>
      <w:r>
        <w:t>Three distinct resurrection/revival demonstrations in the final surah section.</w:t>
      </w:r>
    </w:p>
    <w:p>
      <w:pPr>
        <w:pStyle w:val="Heading2"/>
      </w:pPr>
      <w:r>
        <w:t>2:246-251 ↔ Judges 7/1 Samuel material (QB atlas)</w:t>
      </w:r>
    </w:p>
    <w:p>
      <w:r>
        <w:t>Tālūt narrative combines motifs requiring cross-source analysis.</w:t>
      </w:r>
    </w:p>
    <w:p>
      <w:pPr>
        <w:pStyle w:val="Heading2"/>
      </w:pPr>
      <w:r>
        <w:t>1:6 ↔ 2:2 ↔ 2:257 ↔ 2:285</w:t>
      </w:r>
    </w:p>
    <w:p>
      <w:r>
        <w:t>Guidance request → Book as guidance → darkness-to-light → final “hear and obey” response.</w:t>
      </w:r>
    </w:p>
    <w:p>
      <w:pPr>
        <w:pStyle w:val="Heading1"/>
      </w:pPr>
      <w:r>
        <w:t>Checkpoint 004 Cross-References</w:t>
      </w:r>
    </w:p>
    <w:p>
      <w:pPr>
        <w:pStyle w:val="Heading2"/>
      </w:pPr>
      <w:r>
        <w:t>3:3-4 ↔ 2:41/89/91/101</w:t>
      </w:r>
    </w:p>
    <w:p>
      <w:r>
        <w:t>Repeated confirmation of earlier revelation and positive Torah/Gospel claims.</w:t>
      </w:r>
    </w:p>
    <w:p>
      <w:pPr>
        <w:pStyle w:val="Heading2"/>
      </w:pPr>
      <w:r>
        <w:t>3:7 ↔ earlier heart passages</w:t>
      </w:r>
    </w:p>
    <w:p>
      <w:r>
        <w:t>Ambiguous revelation + deviating heart extends the moral-anthropology architecture.</w:t>
      </w:r>
    </w:p>
    <w:p>
      <w:pPr>
        <w:pStyle w:val="Heading2"/>
      </w:pPr>
      <w:r>
        <w:t>3:39 ↔ 3:45</w:t>
      </w:r>
    </w:p>
    <w:p>
      <w:r>
        <w:t>John confirms a Word from God; Jesus is then identified as a Word from God.</w:t>
      </w:r>
    </w:p>
    <w:p>
      <w:pPr>
        <w:pStyle w:val="Heading2"/>
      </w:pPr>
      <w:r>
        <w:t>3:47 ↔ 3:59</w:t>
      </w:r>
    </w:p>
    <w:p>
      <w:r>
        <w:t>Creative 'Be' language and Adam comparison explain the Quran's non-divine reading of Jesus' miraculous origin.</w:t>
      </w:r>
    </w:p>
    <w:p>
      <w:pPr>
        <w:pStyle w:val="Heading2"/>
      </w:pPr>
      <w:r>
        <w:t>3:50 ↔ 3:3-4 ↔ QCA-0003</w:t>
      </w:r>
    </w:p>
    <w:p>
      <w:r>
        <w:t>Jesus confirms Torah while modifying law: continuity does not require unchanged legislation.</w:t>
      </w:r>
    </w:p>
    <w:p>
      <w:pPr>
        <w:pStyle w:val="Heading2"/>
      </w:pPr>
      <w:r>
        <w:t>3:55 ↔ future 4:157-158</w:t>
      </w:r>
    </w:p>
    <w:p>
      <w:r>
        <w:t>Mutawaffika/raising language must be integrated with later crucifixion denial.</w:t>
      </w:r>
    </w:p>
    <w:p>
      <w:pPr>
        <w:pStyle w:val="Heading2"/>
      </w:pPr>
      <w:r>
        <w:t>3:65-67 ↔ 2:124-141</w:t>
      </w:r>
    </w:p>
    <w:p>
      <w:r>
        <w:t>Abraham as hanif/muslim continues the Quran's transhistorical submission claim.</w:t>
      </w:r>
    </w:p>
    <w:p>
      <w:pPr>
        <w:pStyle w:val="Heading2"/>
      </w:pPr>
      <w:r>
        <w:t>3:78 ↔ 2:75/79/85</w:t>
      </w:r>
    </w:p>
    <w:p>
      <w:r>
        <w:t>Distinct taḥrīf mechanisms: oral twisting, distortion, fabrication, selective rejection.</w:t>
      </w:r>
    </w:p>
    <w:p>
      <w:pPr>
        <w:pStyle w:val="Heading2"/>
      </w:pPr>
      <w:r>
        <w:t>3:85 ↔ 2:62 ↔ 3:113-115</w:t>
      </w:r>
    </w:p>
    <w:p>
      <w:r>
        <w:t>Salvation tension: exclusivist al-Islam language versus positive descriptions of Jews/Christians/People of the Book.</w:t>
      </w:r>
    </w:p>
    <w:p>
      <w:pPr>
        <w:pStyle w:val="Heading2"/>
      </w:pPr>
      <w:r>
        <w:t>3:93 ↔ 3:23 ↔ 2:41/44/121</w:t>
      </w:r>
    </w:p>
    <w:p>
      <w:r>
        <w:t>Earlier Scripture is repeatedly treated as available, recitable, and adjudicative.</w:t>
      </w:r>
    </w:p>
    <w:p>
      <w:pPr>
        <w:pStyle w:val="Heading2"/>
      </w:pPr>
      <w:r>
        <w:t>3:96-97 ↔ 2:125-129</w:t>
      </w:r>
    </w:p>
    <w:p>
      <w:r>
        <w:t>Abraham/Ishmael Sacred House tradition becomes explicitly tied to Bakkah and Hajj.</w:t>
      </w:r>
    </w:p>
    <w:p>
      <w:pPr>
        <w:pStyle w:val="Heading1"/>
      </w:pPr>
      <w:r>
        <w:t>Checkpoint 005 Cross-References</w:t>
      </w:r>
    </w:p>
    <w:p>
      <w:pPr>
        <w:pStyle w:val="Heading2"/>
      </w:pPr>
      <w:r>
        <w:t>3:121-159 ↔ 2:190-203</w:t>
      </w:r>
    </w:p>
    <w:p>
      <w:r>
        <w:t>Warfare remains bounded by obedience, divine sovereignty, testing, and moral conduct rather than functioning as an isolated legal category.</w:t>
      </w:r>
    </w:p>
    <w:p>
      <w:pPr>
        <w:pStyle w:val="Heading2"/>
      </w:pPr>
      <w:r>
        <w:t>3:144 ↔ 3:31-32</w:t>
      </w:r>
    </w:p>
    <w:p>
      <w:r>
        <w:t>Messenger must be obeyed, yet remains mortal and does not replace God.</w:t>
      </w:r>
    </w:p>
    <w:p>
      <w:pPr>
        <w:pStyle w:val="Heading2"/>
      </w:pPr>
      <w:r>
        <w:t>3:159 ↔ 3:152-155</w:t>
      </w:r>
    </w:p>
    <w:p>
      <w:r>
        <w:t>Community disobedience/failure is answered with gentle, forgiving, consultative leadership rather than simple expulsion.</w:t>
      </w:r>
    </w:p>
    <w:p>
      <w:pPr>
        <w:pStyle w:val="Heading2"/>
      </w:pPr>
      <w:r>
        <w:t>2:154 ↔ 3:169-171</w:t>
      </w:r>
    </w:p>
    <w:p>
      <w:r>
        <w:t>Martyrdom develops from “alive” to “alive with their Lord, receiving provision.”</w:t>
      </w:r>
    </w:p>
    <w:p>
      <w:pPr>
        <w:pStyle w:val="Heading2"/>
      </w:pPr>
      <w:r>
        <w:t>3:187 ↔ 3:78 ↔ 3:93</w:t>
      </w:r>
    </w:p>
    <w:p>
      <w:r>
        <w:t>Scripture mishandling includes oral twisting and concealment, while Torah remains sufficiently available to be recited as evidence.</w:t>
      </w:r>
    </w:p>
    <w:p>
      <w:pPr>
        <w:pStyle w:val="Heading2"/>
      </w:pPr>
      <w:r>
        <w:t>3:195 ↔ 2:228/282</w:t>
      </w:r>
    </w:p>
    <w:p>
      <w:r>
        <w:t>Equal divine moral recognition must be held together with social/legal gender asymmetries.</w:t>
      </w:r>
    </w:p>
    <w:p>
      <w:pPr>
        <w:pStyle w:val="Heading2"/>
      </w:pPr>
      <w:r>
        <w:t>3:199 ↔ 2:62 ↔ 3:85 ↔ 3:113-115</w:t>
      </w:r>
    </w:p>
    <w:p>
      <w:r>
        <w:t>The rewarded People-of-the-Book subgroup in 3:199 explicitly accepts Muhammad’s revelation, strengthening a possible harmonization of salvation texts.</w:t>
      </w:r>
    </w:p>
    <w:p>
      <w:pPr>
        <w:pStyle w:val="Heading2"/>
      </w:pPr>
      <w:r>
        <w:t>3:190-191 ↔ 2:164</w:t>
      </w:r>
    </w:p>
    <w:p>
      <w:r>
        <w:t>Creation repeatedly functions as rationally contemplated signs pointing toward God.</w:t>
      </w:r>
    </w:p>
    <w:p>
      <w:pPr>
        <w:pStyle w:val="Heading1"/>
      </w:pPr>
      <w:r>
        <w:t>Checkpoint 006 Cross-References</w:t>
      </w:r>
    </w:p>
    <w:p>
      <w:pPr>
        <w:pStyle w:val="Heading2"/>
      </w:pPr>
      <w:r>
        <w:t>4:1 ↔ Genesis/Eve flag</w:t>
      </w:r>
    </w:p>
    <w:p>
      <w:r>
        <w:t>Single-origin/mate language must later be compared with Genesis 2-3, 1 Timothy 2:14 and 2 Corinthians 11:3 without treating omission as contradiction.</w:t>
      </w:r>
    </w:p>
    <w:p>
      <w:pPr>
        <w:pStyle w:val="Heading2"/>
      </w:pPr>
      <w:r>
        <w:t>4:3 ↔ 4:129</w:t>
      </w:r>
    </w:p>
    <w:p>
      <w:r>
        <w:t>Polygyny permission conditioned on justice versus impossibility of complete equality; QCA-0005 keeps possible emotional/behavioral distinction open.</w:t>
      </w:r>
    </w:p>
    <w:p>
      <w:pPr>
        <w:pStyle w:val="Heading2"/>
      </w:pPr>
      <w:r>
        <w:t>4:6 ↔ later fiqh/hadith age rules</w:t>
      </w:r>
    </w:p>
    <w:p>
      <w:r>
        <w:t>Quran states marriageability and rushd/property competence but no age in years.</w:t>
      </w:r>
    </w:p>
    <w:p>
      <w:pPr>
        <w:pStyle w:val="Heading2"/>
      </w:pPr>
      <w:r>
        <w:t>4:34 ↔ 4:128</w:t>
      </w:r>
    </w:p>
    <w:p>
      <w:r>
        <w:t>Same nushūz term applies to wife and husband; remedies are asymmetrical.</w:t>
      </w:r>
    </w:p>
    <w:p>
      <w:pPr>
        <w:pStyle w:val="Heading2"/>
      </w:pPr>
      <w:r>
        <w:t>4:43 ↔ 2:219 ↔ future 5:90-91</w:t>
      </w:r>
    </w:p>
    <w:p>
      <w:r>
        <w:t>Progressive intoxicant restriction sequence.</w:t>
      </w:r>
    </w:p>
    <w:p>
      <w:pPr>
        <w:pStyle w:val="Heading2"/>
      </w:pPr>
      <w:r>
        <w:t>4:46 ↔ 3:78 ↔ 2:75</w:t>
      </w:r>
    </w:p>
    <w:p>
      <w:r>
        <w:t>Oral/contextual distortion and tongue-twisting cluster within taḥrīf research.</w:t>
      </w:r>
    </w:p>
    <w:p>
      <w:pPr>
        <w:pStyle w:val="Heading2"/>
      </w:pPr>
      <w:r>
        <w:t>4:47 ↔ 2:41/89/91/101 ↔ 3:3/81/93</w:t>
      </w:r>
    </w:p>
    <w:p>
      <w:r>
        <w:t>Repeated confirmation of what earlier-scripture communities possess.</w:t>
      </w:r>
    </w:p>
    <w:p>
      <w:pPr>
        <w:pStyle w:val="Heading2"/>
      </w:pPr>
      <w:r>
        <w:t>4:47 ↔ 4:154 ↔ 2:65 ↔ future 7:163-166</w:t>
      </w:r>
    </w:p>
    <w:p>
      <w:r>
        <w:t>Sabbath-breaker corpus; offense remains unresolved until later narrative.</w:t>
      </w:r>
    </w:p>
    <w:p>
      <w:pPr>
        <w:pStyle w:val="Heading2"/>
      </w:pPr>
      <w:r>
        <w:t>4:59-65 ↔ 3:31-32 ↔ 4:80/105</w:t>
      </w:r>
    </w:p>
    <w:p>
      <w:r>
        <w:t>Messenger obedience/judicial authority intensifies cumulatively.</w:t>
      </w:r>
    </w:p>
    <w:p>
      <w:pPr>
        <w:pStyle w:val="Heading2"/>
      </w:pPr>
      <w:r>
        <w:t>4:75 ↔ 4:90 ↔ 4:94</w:t>
      </w:r>
    </w:p>
    <w:p>
      <w:r>
        <w:t>Warfare rationale/protection: oppressed-defense, peace exception, verification before hostile classification.</w:t>
      </w:r>
    </w:p>
    <w:p>
      <w:pPr>
        <w:pStyle w:val="Heading2"/>
      </w:pPr>
      <w:r>
        <w:t>4:92-93 ↔ Torah homicide law</w:t>
      </w:r>
    </w:p>
    <w:p>
      <w:r>
        <w:t>Accidental and intentional killing sharply distinguished.</w:t>
      </w:r>
    </w:p>
    <w:p>
      <w:pPr>
        <w:pStyle w:val="Heading2"/>
      </w:pPr>
      <w:r>
        <w:t>4:136/162 ↔ 3:93</w:t>
      </w:r>
    </w:p>
    <w:p>
      <w:r>
        <w:t>Belief in earlier revelation remains required alongside allegations of human distortion.</w:t>
      </w:r>
    </w:p>
    <w:p>
      <w:pPr>
        <w:pStyle w:val="Heading2"/>
      </w:pPr>
      <w:r>
        <w:t>3:55 ↔ 4:157-159</w:t>
      </w:r>
    </w:p>
    <w:p>
      <w:r>
        <w:t>Jesus mutawaffika/raising/crucifixion-denial corpus; death timing unresolved.</w:t>
      </w:r>
    </w:p>
    <w:p>
      <w:pPr>
        <w:pStyle w:val="Heading2"/>
      </w:pPr>
      <w:r>
        <w:t>4:157-158 ↔ canonical Passion tradition</w:t>
      </w:r>
    </w:p>
    <w:p>
      <w:r>
        <w:t>Direct historical/textual contradiction over crucifixion.</w:t>
      </w:r>
    </w:p>
    <w:p>
      <w:pPr>
        <w:pStyle w:val="Heading2"/>
      </w:pPr>
      <w:r>
        <w:t>4:171 ↔ 3:45/59 ↔ 2:116</w:t>
      </w:r>
    </w:p>
    <w:p>
      <w:r>
        <w:t>Jesus as Word/Messiah/Spirit within explicit non-divine/anti-walad/anti-Three framework.</w:t>
      </w:r>
    </w:p>
    <w:p>
      <w:pPr>
        <w:pStyle w:val="Heading1"/>
      </w:pPr>
      <w:r>
        <w:t>Checkpoint 007 Cross-References</w:t>
      </w:r>
    </w:p>
    <w:p>
      <w:pPr>
        <w:pStyle w:val="Heading2"/>
      </w:pPr>
      <w:r>
        <w:t>5:2 ↔ 5:8 ↔ 4:135</w:t>
      </w:r>
    </w:p>
    <w:p>
      <w:r>
        <w:t>Justice cannot be corrupted either by hatred or favoritism.</w:t>
      </w:r>
    </w:p>
    <w:p>
      <w:pPr>
        <w:pStyle w:val="Heading2"/>
      </w:pPr>
      <w:r>
        <w:t>5:5 ↔ 5:51-56</w:t>
      </w:r>
    </w:p>
    <w:p>
      <w:r>
        <w:t>Food/marriage permissions constrain awliyāʾ interpretation; social relations and primary allegiance differ.</w:t>
      </w:r>
    </w:p>
    <w:p>
      <w:pPr>
        <w:pStyle w:val="Heading2"/>
      </w:pPr>
      <w:r>
        <w:t>5:13-15 ↔ 4:46 ↔ 3:78</w:t>
      </w:r>
    </w:p>
    <w:p>
      <w:r>
        <w:t>Distortion, forgetting, tongue-twisting, concealment and false attribution form distinct revelation-mishandling mechanisms.</w:t>
      </w:r>
    </w:p>
    <w:p>
      <w:pPr>
        <w:pStyle w:val="Heading2"/>
      </w:pPr>
      <w:r>
        <w:t>5:43-48 ↔ 3:93 ↔ 2:41</w:t>
      </w:r>
    </w:p>
    <w:p>
      <w:r>
        <w:t>Earlier Scripture is repeatedly described as possessed, recitable, judicially usable, guidance/light, and confirmed by Quran.</w:t>
      </w:r>
    </w:p>
    <w:p>
      <w:pPr>
        <w:pStyle w:val="Heading2"/>
      </w:pPr>
      <w:r>
        <w:t>5:66/68 ↔ 5:43-47</w:t>
      </w:r>
    </w:p>
    <w:p>
      <w:r>
        <w:t>People of the Book are told not only to possess but to uphold Torah/Gospel.</w:t>
      </w:r>
    </w:p>
    <w:p>
      <w:pPr>
        <w:pStyle w:val="Heading2"/>
      </w:pPr>
      <w:r>
        <w:t>5:60 ↔ 2:65 ↔ 4:47 ↔ future 7:163-166</w:t>
      </w:r>
    </w:p>
    <w:p>
      <w:r>
        <w:t>Cumulative Sabbath-apes corpus; offense/details remain incomplete until Surah 7.</w:t>
      </w:r>
    </w:p>
    <w:p>
      <w:pPr>
        <w:pStyle w:val="Heading2"/>
      </w:pPr>
      <w:r>
        <w:t>5:69 ↔ 2:62 ↔ 3:85 ↔ 3:199 ↔ 5:82-85</w:t>
      </w:r>
    </w:p>
    <w:p>
      <w:r>
        <w:t>Inclusive salvation formula and exclusive al-Islam statements require a full-corpus harmonization.</w:t>
      </w:r>
    </w:p>
    <w:p>
      <w:pPr>
        <w:pStyle w:val="Heading2"/>
      </w:pPr>
      <w:r>
        <w:t>5:73 ↔ 4:171 ↔ 5:116</w:t>
      </w:r>
    </w:p>
    <w:p>
      <w:r>
        <w:t>“Three,” “third of three,” and Jesus/Mary as two ilāhs form the core Trinity-representation dossier.</w:t>
      </w:r>
    </w:p>
    <w:p>
      <w:pPr>
        <w:pStyle w:val="Heading2"/>
      </w:pPr>
      <w:r>
        <w:t>5:75 ↔ 3:59</w:t>
      </w:r>
    </w:p>
    <w:p>
      <w:r>
        <w:t>Creaturely dependence and Adam analogy are Quranic arguments against divine Christology.</w:t>
      </w:r>
    </w:p>
    <w:p>
      <w:pPr>
        <w:pStyle w:val="Heading2"/>
      </w:pPr>
      <w:r>
        <w:t>5:90-93 ↔ 2:219 ↔ 4:43</w:t>
      </w:r>
    </w:p>
    <w:p>
      <w:r>
        <w:t>Progressive intoxicant legislation with explicit non-retroactivity.</w:t>
      </w:r>
    </w:p>
    <w:p>
      <w:pPr>
        <w:pStyle w:val="Heading2"/>
      </w:pPr>
      <w:r>
        <w:t>5:97 ↔ 3:96 ↔ 2:125-129</w:t>
      </w:r>
    </w:p>
    <w:p>
      <w:r>
        <w:t>House → Bakkah → Kaʿbah → Abraham/Ishmael historical claim.</w:t>
      </w:r>
    </w:p>
    <w:p>
      <w:pPr>
        <w:pStyle w:val="Heading2"/>
      </w:pPr>
      <w:r>
        <w:t>5:110 ↔ 3:46-49 ↔ future 19:29-33</w:t>
      </w:r>
    </w:p>
    <w:p>
      <w:r>
        <w:t>Jesus miracle/cradle-speech corpus.</w:t>
      </w:r>
    </w:p>
    <w:p>
      <w:pPr>
        <w:pStyle w:val="Heading2"/>
      </w:pPr>
      <w:r>
        <w:t>5:117 ↔ 3:55 ↔ 4:157-159</w:t>
      </w:r>
    </w:p>
    <w:p>
      <w:r>
        <w:t>w-f-y / raising / crucifixion-denial corpus; Jesus death chronology remains unresolved.</w:t>
      </w:r>
    </w:p>
    <w:p>
      <w:pPr>
        <w:pStyle w:val="Heading1"/>
      </w:pPr>
      <w:r>
        <w:t>Checkpoint 008 Cross-Reference Additions — Surah 6</w:t>
      </w:r>
    </w:p>
    <w:p>
      <w:r>
        <w:t>6:20 ↔ 2:146 ↔ 6:114 — repeated claim that earlier-Scripture possessors can recognize Muhammad/current revelation.</w:t>
      </w:r>
    </w:p>
    <w:p>
      <w:r>
        <w:t>6:34 ↔ 6:115 ↔ QCA-0001 — “no changer of God’s words”; compare with concealment/distortion passages rather than treating slogans as settled manuscript theory.</w:t>
      </w:r>
    </w:p>
    <w:p>
      <w:r>
        <w:t>6:50 ↔ 6:59 — Muhammad denies independent unseen knowledge; God alone holds keys of the unseen.</w:t>
      </w:r>
    </w:p>
    <w:p>
      <w:r>
        <w:t>6:60 ↔ 6:61 ↔ 3:55 ↔ 5:117 — w-f-y corpus: sleep and death uses directly established; Jesus meaning remains contextual.</w:t>
      </w:r>
    </w:p>
    <w:p>
      <w:r>
        <w:t>6:74-83 ↔ Genesis 11 ↔ Abraham source-history flag — Āzar/Terah and celestial argument require chronologically controlled comparison.</w:t>
      </w:r>
    </w:p>
    <w:p>
      <w:r>
        <w:t>6:91 ↔ 5:43-48 ↔ 5:66/68 ↔ 6:154 — repeated positive Torah/Mosaic-Scripture authority language alongside human concealment/mishandling.</w:t>
      </w:r>
    </w:p>
    <w:p>
      <w:r>
        <w:t>6:101 ↔ 2:116 ↔ 4:171 ↔ 5:17/73/116 — divine-sonship/Trinity representation corpus; 6:101 adds lack-of-consort argument.</w:t>
      </w:r>
    </w:p>
    <w:p>
      <w:r>
        <w:t>6:107 ↔ 6:110 ↔ 6:125 ↔ 6:148-149 — divine guidance/misguidance, possible judicial hardening, and explicit rejection of divine-will excuses.</w:t>
      </w:r>
    </w:p>
    <w:p>
      <w:r>
        <w:t>6:137 ↔ Torah child-sacrifice prohibitions — strong moral parallel.</w:t>
      </w:r>
    </w:p>
    <w:p>
      <w:r>
        <w:t>6:146 ↔ 4:160 ↔ Leviticus 11 / Deuteronomy 14 — punitive Quranic rationale versus Torah holiness/covenant framing.</w:t>
      </w:r>
    </w:p>
    <w:p>
      <w:r>
        <w:t>6:151-153 ↔ Exodus 20 / Deuteronomy 5 — strong ethical overlap with commandment tradition.</w:t>
      </w:r>
    </w:p>
    <w:p>
      <w:r>
        <w:t>6:164 ↔ broader Quran burden-bearing corpus ↔ Christian atonement texts — major future soteriological comparison.</w:t>
      </w:r>
    </w:p>
    <w:p>
      <w:pPr>
        <w:pStyle w:val="Heading1"/>
      </w:pPr>
      <w:r>
        <w:t>Checkpoint 009 Internal Quran Cross-References</w:t>
      </w:r>
    </w:p>
    <w:p>
      <w:r>
        <w:t>Adam/Iblīs: 7:11-25 cross-reference 2:30-39 and later Surahs 15,17,18,20; preserve differences in wording and blame structure.</w:t>
      </w:r>
    </w:p>
    <w:p>
      <w:r>
        <w:t>Guidance/misguidance: 7:16,27,30,178-179,186 cross-reference Surah 6:39,107,110-113,125,148-149. Divine sovereignty and human accountability remain simultaneous Quranic claims.</w:t>
      </w:r>
    </w:p>
    <w:p>
      <w:r>
        <w:t>Torah/Gospel: 7:157,169-170 cross-reference 2:41,75,79,89-91,101; 3:3; 4:46-47,136,162; 5:13-15,43-48,66,68; 6:34,91-92,114-115,154-157.</w:t>
      </w:r>
    </w:p>
    <w:p>
      <w:r>
        <w:t>Sabbath: 7:163-166 cross-reference 2:65 and future 16:124; 5:60 supplies apes/swine judgment language but does not itself narrate the Sabbath event.</w:t>
      </w:r>
    </w:p>
    <w:p>
      <w:r>
        <w:t>Moses/golden calf: 7:138-154 cross-reference 2:51-54 and future Surah 20, where al-Sāmirī becomes central.</w:t>
      </w:r>
    </w:p>
    <w:p>
      <w:r>
        <w:t>Muhammad’s limitations: 7:187-188,203 cross-reference 6:50 and 6:109; demanded signs remain under God’s control.</w:t>
      </w:r>
    </w:p>
    <w:p>
      <w:r>
        <w:t>Primordial covenant: 7:172-173 should be cross-checked against later fitrah/human-accountability passages without importing later theology prematurely.</w:t>
      </w:r>
    </w:p>
    <w:p>
      <w:pPr>
        <w:pStyle w:val="Heading1"/>
      </w:pPr>
      <w:r>
        <w:t>Master Block 001 Integration - Surahs 8-10</w:t>
      </w:r>
    </w:p>
    <w:p>
      <w:pPr/>
      <w:r>
        <w:t>Surahs 8-10 were completed after CP009 without an intermediate checkpoint, by design. Their material is integrated here as Master Block research content from the preserved project record; no nonexistent checkpoint is asserted.</w:t>
      </w:r>
    </w:p>
    <w:p>
      <w:pPr>
        <w:pStyle w:val="Heading2"/>
      </w:pPr>
      <w:r>
        <w:t>Surahs 8-10 internal Quran cross-reference additions</w:t>
      </w:r>
    </w:p>
    <w:p>
      <w:pPr/>
      <w:r>
        <w:t>FITNAH cluster — 8:25, 8:28, 8:39; 9:47-49. 8:28 proves the term can mean test/trial; the warfare occurrence at 8:39 therefore requires contextual analysis rather than a single mechanical gloss.</w:t>
      </w:r>
    </w:p>
    <w:p>
      <w:pPr/>
      <w:r>
        <w:t>WARFARE / CESSATION / TREATY cluster — 8:38-39; 8:58; 8:60-61; 8:72; 9:1-7; 9:12-14; 9:29; 9:36; 9:41; 9:111; 9:123; 10:99. These passages must be read cumulatively to distinguish fighting, cessation, peace, asylum, treaty fidelity, political submission, and inward belief.</w:t>
      </w:r>
    </w:p>
    <w:p>
      <w:pPr/>
      <w:r>
        <w:t>GUIDANCE / HEART cluster — 6:39, 6:110-125; 7:16, 7:178-186; 8:23-24; 9:46, 9:75-77, 9:87; 10:44, 10:74, 10:88-100. The corpus attributes meaningful agency to both divine action and human response.</w:t>
      </w:r>
    </w:p>
    <w:p>
      <w:pPr/>
      <w:r>
        <w:t>EARLIER SCRIPTURE cluster — 5:43-48, 5:66-68; 6:91-115, 6:154-157; 7:157, 7:169-170; 9:111; 10:15, 10:37, 10:94. Surahs 9-10 strengthen the extant/confirmatory-witness side of QCA-0001.</w:t>
      </w:r>
    </w:p>
    <w:p>
      <w:pPr/>
      <w:r>
        <w:t>MESSENGER AUTHORITY / LIMITATION cluster — 8:1, 8:20, 8:24; 9:43, 9:61-63, 9:80, 9:99-103; 10:15, 10:20, 10:49, 10:109. Obedience and delegated authority coexist with correction and dependence.</w:t>
      </w:r>
    </w:p>
    <w:p>
      <w:pPr/>
      <w:r>
        <w:t>PHARAOH / HARDENING cluster — 6:110; 7:100-101; 8:50-54; 10:74, 10:88-93, 10:100. Surah 10 makes the hardening issue more explicit by including Moses’ prayer and divine acceptance.</w:t>
      </w:r>
    </w:p>
    <w:p>
      <w:pPr/>
      <w:r>
        <w:t>DIVINE SONSHIP cluster — 2:116-117; 4:171; 5:72-75, 5:116; 6:101; 9:30-31; 10:68. The Quran repeatedly rejects sonship while different passages use different argumentative frames, including procreative/consort language in 6:101.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