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Historical and Textual Research</w:t>
      </w:r>
    </w:p>
    <w:p>
      <w:pPr>
        <w:jc w:val="center"/>
      </w:pPr>
      <w:r>
        <w:t>Quran Research Project - Master Block 001 (Surahs 1-10) - Corrected Full-Schema Build</w:t>
      </w:r>
    </w:p>
    <w:p>
      <w:pPr>
        <w:jc w:val="center"/>
      </w:pPr>
      <w:r>
        <w:t>Coverage: Surah 1:1-7; 2:1-286; 3:1-200; 4:1-176; 5:1-120; 6:1-165; 7:1-206; 8:1-75; 9:1-129; 10:1-109 | Built September 14, 2026</w:t>
      </w:r>
    </w:p>
    <w:p/>
    <w:p>
      <w:pPr>
        <w:pStyle w:val="Heading1"/>
      </w:pPr>
      <w:r>
        <w:t>Scope at Checkpoint 002</w:t>
      </w:r>
    </w:p>
    <w:p>
      <w:r>
        <w:t>No manuscript-preservation conclusion is warranted yet. The current textual-history record is intentionally limited to claims actually encountered through 2:74.</w:t>
      </w:r>
    </w:p>
    <w:p>
      <w:pPr>
        <w:pStyle w:val="Heading1"/>
      </w:pPr>
      <w:r>
        <w:t>Early Textual Claims Encountered</w:t>
      </w:r>
    </w:p>
    <w:p>
      <w:pPr>
        <w:pStyle w:val="ListBullet"/>
      </w:pPr>
      <w:r>
        <w:t>2:2 presents al-kitab as guidance.</w:t>
      </w:r>
    </w:p>
    <w:p>
      <w:pPr>
        <w:pStyle w:val="ListBullet"/>
      </w:pPr>
      <w:r>
        <w:t>2:23-24 issues a produce-a-surah challenge to doubters.</w:t>
      </w:r>
    </w:p>
    <w:p>
      <w:pPr>
        <w:pStyle w:val="ListBullet"/>
      </w:pPr>
      <w:r>
        <w:t>2:41 describes current revelation as confirming what is with the addressed Israelite audience.</w:t>
      </w:r>
    </w:p>
    <w:p>
      <w:pPr>
        <w:pStyle w:val="ListBullet"/>
      </w:pPr>
      <w:r>
        <w:t>2:44 portrays people as reciting al-kitab.</w:t>
      </w:r>
    </w:p>
    <w:p>
      <w:pPr>
        <w:pStyle w:val="ListBullet"/>
      </w:pPr>
      <w:r>
        <w:t>2:53 attributes al-kitab and al-furqan to Moses.</w:t>
      </w:r>
    </w:p>
    <w:p>
      <w:pPr>
        <w:pStyle w:val="Heading1"/>
      </w:pPr>
      <w:r>
        <w:t>Historical/Narrative Questions Opened</w:t>
      </w:r>
    </w:p>
    <w:p>
      <w:pPr>
        <w:pStyle w:val="ListBullet"/>
      </w:pPr>
      <w:r>
        <w:t>2:63 mountain-raised-above-Israel motif: compare canonical Exodus and Jewish interpretive traditions.</w:t>
      </w:r>
    </w:p>
    <w:p>
      <w:pPr>
        <w:pStyle w:val="ListBullet"/>
      </w:pPr>
      <w:r>
        <w:t>2:65-66 Sabbath-breakers-to-apes motif: no direct canonical biblical counterpart identified at this stage.</w:t>
      </w:r>
    </w:p>
    <w:p>
      <w:pPr>
        <w:pStyle w:val="ListBullet"/>
      </w:pPr>
      <w:r>
        <w:t>2:67-73 cow and unsolved murder: investigate possible relationship to Deuteronomy 21 and later Jewish traditions.</w:t>
      </w:r>
    </w:p>
    <w:p>
      <w:pPr>
        <w:pStyle w:val="ListBullet"/>
      </w:pPr>
      <w:r>
        <w:t>2:54 lethal judgment after golden calf: compare Arabic, Exodus 32:25-29, and early tafsir.</w:t>
      </w:r>
    </w:p>
    <w:p>
      <w:pPr>
        <w:pStyle w:val="Heading1"/>
      </w:pPr>
      <w:r>
        <w:t>Methodological Status</w:t>
      </w:r>
    </w:p>
    <w:p>
      <w:r>
        <w:t>Similarity is not treated as proof of borrowing. Absence from the canonical Bible is classified as addition unless a mutually incompatible claim is established.</w:t>
      </w:r>
    </w:p>
    <w:p>
      <w:pPr>
        <w:pStyle w:val="Heading1"/>
      </w:pPr>
      <w:r>
        <w:t>Checkpoint 002 Historical/Textual Questions Added</w:t>
      </w:r>
    </w:p>
    <w:p>
      <w:pPr>
        <w:pStyle w:val="ListBullet"/>
      </w:pPr>
      <w:r>
        <w:t>Taḥrīf manuscript-history requirement: compare Quranic corruption claims with Dead Sea Scrolls, Septuagint traditions, Samaritan Pentateuch, early Hebrew evidence, New Testament papyri/codices, early translations, and patristic quotations predating Islam.</w:t>
      </w:r>
    </w:p>
    <w:p>
      <w:pPr>
        <w:pStyle w:val="ListBullet"/>
      </w:pPr>
      <w:r>
        <w:t>Specific-Corruption Test is mandatory for later claims: identify passage, alleged original, alleged changed form, agent, date, manuscript chronology, independent evidence, and reconstruction feasibility.</w:t>
      </w:r>
    </w:p>
    <w:p>
      <w:pPr>
        <w:pStyle w:val="ListBullet"/>
      </w:pPr>
      <w:r>
        <w:t>Solomon-Harut-Marut: investigate pre-Quranic Jewish, Christian, magical, Syriac, Babylonian, and Late Antique traditions linking Solomon with magic and named angelic figures.</w:t>
      </w:r>
    </w:p>
    <w:p>
      <w:pPr>
        <w:pStyle w:val="ListBullet"/>
      </w:pPr>
      <w:r>
        <w:t>Abraham/Ishmael and Sacred House: investigate earliest evidence connecting Abraham/Ishmael with Mecca/Kaʿbah and distinguish Quranic claim, pre-Islamic Arabian tradition, later Islamic tradition, and independent historical evidence.</w:t>
      </w:r>
    </w:p>
    <w:p>
      <w:pPr>
        <w:pStyle w:val="ListBullet"/>
      </w:pPr>
      <w:r>
        <w:t>Ṣafā-Marwah: investigate pre-Islamic ritual practice and historical context.</w:t>
      </w:r>
    </w:p>
    <w:p>
      <w:pPr>
        <w:pStyle w:val="ListBullet"/>
      </w:pPr>
      <w:r>
        <w:t>Qiblah: distinguish Quranic statement of a prior direction from later historical identification of Jerusalem; investigate earliest Islamic and external evidence.</w:t>
      </w:r>
    </w:p>
    <w:p>
      <w:pPr>
        <w:pStyle w:val="ListBullet"/>
      </w:pPr>
      <w:r>
        <w:t>Christology flag: use pre-Islamic creeds and Christian writings to establish what Christians meant by Son of God before evaluating Quranic representation.</w:t>
      </w:r>
    </w:p>
    <w:p>
      <w:pPr>
        <w:pStyle w:val="Heading2"/>
      </w:pPr>
      <w:r>
        <w:t>Chronological Control Rule Applied</w:t>
      </w:r>
    </w:p>
    <w:p>
      <w:r>
        <w:t>Any claim that a biblical reading was altered because it conflicts with the Quran must be tested against manuscripts demonstrably predating Muhammad. Earlier manuscript attestation does not automatically equal autograph originality, but it constrains claims of later alteration.</w:t>
      </w:r>
    </w:p>
    <w:p>
      <w:pPr>
        <w:pStyle w:val="Heading1"/>
      </w:pPr>
      <w:r>
        <w:t>Checkpoint 003 Historical/Textual Questions Added</w:t>
      </w:r>
    </w:p>
    <w:p>
      <w:pPr>
        <w:pStyle w:val="ListBullet"/>
      </w:pPr>
      <w:r>
        <w:t>Qiṣāṣ status formula (2:178): investigate pre-Islamic Arabian blood-feud practice and early Islamic legal interpretation before determining whether category matching values lives differently or restrains tribal excess.</w:t>
      </w:r>
    </w:p>
    <w:p>
      <w:pPr>
        <w:pStyle w:val="ListBullet"/>
      </w:pPr>
      <w:r>
        <w:t>Ramadan/fasing continuity: compare biblical fasting practices and Late Antique Jewish/Christian fasts without assuming an earlier month-long equivalent.</w:t>
      </w:r>
    </w:p>
    <w:p>
      <w:pPr>
        <w:pStyle w:val="ListBullet"/>
      </w:pPr>
      <w:r>
        <w:t>Warfare: reconstruct immediate historical contexts of 2:190-217 and distinguish Quranic wording from later sīrah/fiqh expansions.</w:t>
      </w:r>
    </w:p>
    <w:p>
      <w:pPr>
        <w:pStyle w:val="ListBullet"/>
      </w:pPr>
      <w:r>
        <w:t>Apostasy: trace Quranic passages separately from hadith-based death-penalty doctrine and determine earliest legal development.</w:t>
      </w:r>
    </w:p>
    <w:p>
      <w:pPr>
        <w:pStyle w:val="ListBullet"/>
      </w:pPr>
      <w:r>
        <w:t>Intoxicants: track chronological progression 2:219 → 4:43 → 5:90-91 and earliest tafsir/fiqh claims of abrogation.</w:t>
      </w:r>
    </w:p>
    <w:p>
      <w:pPr>
        <w:pStyle w:val="ListBullet"/>
      </w:pPr>
      <w:r>
        <w:t>Gender/family law: distinguish Quranic rules from later fiqh on testimony, guardianship, divorce, halalah, and menstruation.</w:t>
      </w:r>
    </w:p>
    <w:p>
      <w:pPr>
        <w:pStyle w:val="ListBullet"/>
      </w:pPr>
      <w:r>
        <w:t>Tālūt narrative: investigate Jewish, Christian, Syriac and Late Antique narrative traditions for Ark authentication and Gideon-like river test motifs.</w:t>
      </w:r>
    </w:p>
    <w:p>
      <w:pPr>
        <w:pStyle w:val="ListBullet"/>
      </w:pPr>
      <w:r>
        <w:t>Ribā: establish pre-Islamic Arabian lending practices and compare Quranic usage with Torah usury rules before mapping to modern interest.</w:t>
      </w:r>
    </w:p>
    <w:p>
      <w:pPr>
        <w:pStyle w:val="ListBullet"/>
      </w:pPr>
      <w:r>
        <w:t>2:282 testimony: compare Late Antique Jewish, Roman, Byzantine and Arabian evidentiary law before historical evaluation.</w:t>
      </w:r>
    </w:p>
    <w:p>
      <w:pPr>
        <w:pStyle w:val="ListBullet"/>
      </w:pPr>
      <w:r>
        <w:t>2:256 no-compulsion: trace earliest exegetical context, abrogation claims, and legal application only after the full Quranic corpus is collected.</w:t>
      </w:r>
    </w:p>
    <w:p>
      <w:pPr>
        <w:pStyle w:val="Heading1"/>
      </w:pPr>
      <w:r>
        <w:t>Checkpoint 004 Historical/Textual Questions Added</w:t>
      </w:r>
    </w:p>
    <w:p>
      <w:pPr>
        <w:pStyle w:val="Heading1"/>
      </w:pPr>
      <w:r>
        <w:t>Checkpoint 004 Historical and Textual Research Additions</w:t>
      </w:r>
    </w:p>
    <w:p>
      <w:pPr>
        <w:pStyle w:val="ListBullet"/>
      </w:pPr>
      <w:r>
        <w:t>Taḥrīf chronology: 3:93 now requires direct comparison between Quranic appeal to the Torah and demonstrably pre-Islamic Torah manuscript traditions.</w:t>
      </w:r>
    </w:p>
    <w:p>
      <w:pPr>
        <w:pStyle w:val="ListBullet"/>
      </w:pPr>
      <w:r>
        <w:t>Injīl identity: establish what pre-Islamic Christians meant by euangelion/gospel and compare with Quranic singular al-Injīl.</w:t>
      </w:r>
    </w:p>
    <w:p>
      <w:pPr>
        <w:pStyle w:val="ListBullet"/>
      </w:pPr>
      <w:r>
        <w:t>Christology: compare Quranic Word/Messiah/virgin-birth/miracle claims with first-century canonical evidence and later pre-Islamic creedal development.</w:t>
      </w:r>
    </w:p>
    <w:p>
      <w:pPr>
        <w:pStyle w:val="ListBullet"/>
      </w:pPr>
      <w:r>
        <w:t>Cradle speech: canonical NT has no parallel; surviving later Arabic infancy texts contain cradle speech, but pre-Quranic written attestation and hypothetical Syriac antecedents must be dated cautiously.</w:t>
      </w:r>
    </w:p>
    <w:p>
      <w:pPr>
        <w:pStyle w:val="ListBullet"/>
      </w:pPr>
      <w:r>
        <w:t>Mary's upbringing and clay-bird narratives: investigate Protoevangelium of James, Infancy Gospel of Thomas, Syriac/Arabic transmission, and Late Antique circulation without inferring borrowing solely from similarity.</w:t>
      </w:r>
    </w:p>
    <w:p>
      <w:pPr>
        <w:pStyle w:val="ListBullet"/>
      </w:pPr>
      <w:r>
        <w:t>Mary/Imran/Aaron genealogy: compare Quran 3, future 19:28, biblical Miriam/Amram/Aaron, and classical Muslim explanations before classifying.</w:t>
      </w:r>
    </w:p>
    <w:p>
      <w:pPr>
        <w:pStyle w:val="ListBullet"/>
      </w:pPr>
      <w:r>
        <w:t>Bakkah/Kaʿbah: investigate earliest external references to Mecca/Bakkah and any pre-Islamic Abraham/Ishmael sanctuary connection.</w:t>
      </w:r>
    </w:p>
    <w:p>
      <w:pPr>
        <w:pStyle w:val="ListBullet"/>
      </w:pPr>
      <w:r>
        <w:t>3:93 Specific-Corruption Test application: if a claimant says the Torah appealed to here was materially different from surviving pre-Islamic Torah witnesses, identify the exact alleged reading and evidence.</w:t>
      </w:r>
    </w:p>
    <w:p>
      <w:pPr>
        <w:pStyle w:val="Heading1"/>
      </w:pPr>
      <w:r>
        <w:t>Checkpoint 005 Historical/Textual Questions Added</w:t>
      </w:r>
    </w:p>
    <w:p>
      <w:pPr>
        <w:pStyle w:val="Heading1"/>
      </w:pPr>
      <w:r>
        <w:t>Checkpoint 005 Historical and Textual Research Additions</w:t>
      </w:r>
    </w:p>
    <w:p>
      <w:pPr>
        <w:pStyle w:val="Heading1"/>
      </w:pPr>
      <w:r>
        <w:t>Checkpoint 005 Historical/Textual Additions</w:t>
      </w:r>
    </w:p>
    <w:p>
      <w:pPr>
        <w:pStyle w:val="ListBullet"/>
      </w:pPr>
      <w:r>
        <w:t>Battle of Uhud identification: distinguish Quranic wording from sīrah/hadith reconstruction; Badr is explicitly named in 3:123, while much surrounding material is traditionally identified as Uhud.</w:t>
      </w:r>
    </w:p>
    <w:p>
      <w:pPr>
        <w:pStyle w:val="ListBullet"/>
      </w:pPr>
      <w:r>
        <w:t>Angelic assistance at Badr/Uhud: classify as supernatural historical claim; ordinary historical methods can assess textual attestation and battle context but not directly verify angels.</w:t>
      </w:r>
    </w:p>
    <w:p>
      <w:pPr>
        <w:pStyle w:val="ListBullet"/>
      </w:pPr>
      <w:r>
        <w:t>3:181 “God is poor” claim: investigate Jewish/Christian polemical and exegetical background before attributing it to any community generally.</w:t>
      </w:r>
    </w:p>
    <w:p>
      <w:pPr>
        <w:pStyle w:val="ListBullet"/>
      </w:pPr>
      <w:r>
        <w:t>3:183 fire-consumed sacrifice: investigate biblical altar-fire narratives and Jewish expectations for prophetic authentication.</w:t>
      </w:r>
    </w:p>
    <w:p>
      <w:pPr>
        <w:pStyle w:val="ListBullet"/>
      </w:pPr>
      <w:r>
        <w:t>3:187 taḥrīf relevance: compare command to clarify Scripture against pre-Islamic manuscript evidence and later Muslim textual-corruption doctrine.</w:t>
      </w:r>
    </w:p>
    <w:p>
      <w:pPr>
        <w:pStyle w:val="ListBullet"/>
      </w:pPr>
      <w:r>
        <w:t>3:199 salvation context: investigate early tafsir identification of the praised People of the Book while preserving the Quranic wording first.</w:t>
      </w:r>
    </w:p>
    <w:p>
      <w:pPr>
        <w:pStyle w:val="Heading1"/>
      </w:pPr>
      <w:r>
        <w:t>Checkpoint 006 Historical/Textual Questions Added</w:t>
      </w:r>
    </w:p>
    <w:p>
      <w:pPr>
        <w:pStyle w:val="Heading1"/>
      </w:pPr>
      <w:r>
        <w:t>Checkpoint 006 Historical/Textual Additions</w:t>
      </w:r>
    </w:p>
    <w:p>
      <w:pPr>
        <w:pStyle w:val="Heading1"/>
      </w:pPr>
      <w:r>
        <w:t>Checkpoint 006 Historical and Textual Research Additions</w:t>
      </w:r>
    </w:p>
    <w:p>
      <w:pPr>
        <w:pStyle w:val="ListBullet"/>
      </w:pPr>
      <w:r>
        <w:t>Crucifixion: distinguish Quranic denial from canonical NT, Pauline evidence, early second-century Christian testimony, Roman/Jewish external evidence, and modern historical consensus. Current ordinary-historical assessment strongly favors crucifixion under Pontius Pilate.</w:t>
      </w:r>
    </w:p>
    <w:p>
      <w:pPr>
        <w:pStyle w:val="ListBullet"/>
      </w:pPr>
      <w:r>
        <w:t>Pre-Islamic crucifixion alternatives: document Basilidean/docetic/substitution traditions carefully; their existence proves antecedents, not Quranic borrowing or historical truth.</w:t>
      </w:r>
    </w:p>
    <w:p>
      <w:pPr>
        <w:pStyle w:val="ListBullet"/>
      </w:pPr>
      <w:r>
        <w:t>shubbiha lahum: investigate earliest tafsir/hadith substitution explanations and their chronology; do not treat Judas/Simon/volunteer-disciple stories as explicit Quran.</w:t>
      </w:r>
    </w:p>
    <w:p>
      <w:pPr>
        <w:pStyle w:val="ListBullet"/>
      </w:pPr>
      <w:r>
        <w:t>Marriage age: compare Quran 4:6 wording with seventh-century Arabian social practice, early hadith, earliest fiqh, and later legal ages without importing later rules into the verse.</w:t>
      </w:r>
    </w:p>
    <w:p>
      <w:pPr>
        <w:pStyle w:val="ListBullet"/>
      </w:pPr>
      <w:r>
        <w:t>4:24-25 right-hand possession: investigate Late Antique slavery, war captivity, existing marriages, sexual access, consent concepts, manumission and comparison with Torah/Roman/Christian practice.</w:t>
      </w:r>
    </w:p>
    <w:p>
      <w:pPr>
        <w:pStyle w:val="ListBullet"/>
      </w:pPr>
      <w:r>
        <w:t>4:34: trace earliest tafsir, hadith, juristic limits, and modern reinterpretations of wa-iḍribūhunna. Keep lexical evidence, early reception and modern ethical rereadings separate.</w:t>
      </w:r>
    </w:p>
    <w:p>
      <w:pPr>
        <w:pStyle w:val="ListBullet"/>
      </w:pPr>
      <w:r>
        <w:t>4:160 dietary restrictions: apply Judaism chronology layers before comparing Quranic punitive explanation with Torah holiness/covenant framing.</w:t>
      </w:r>
    </w:p>
    <w:p>
      <w:pPr>
        <w:pStyle w:val="ListBullet"/>
      </w:pPr>
      <w:r>
        <w:t>Sabbath: 4:47 and 4:154 are direct Quranic evidence but do not define the offense; defer full source-history to 7:163-166 and keep Tanakh/Second Temple/rabbinic/later sources dated separately.</w:t>
      </w:r>
    </w:p>
    <w:p>
      <w:pPr>
        <w:pStyle w:val="ListBullet"/>
      </w:pPr>
      <w:r>
        <w:t>Taḥrīf: Surah 4 requires continuing manuscript chronology control; any claim of pre-Muhammad textual corruption must be tested against pre-Islamic manuscript evidence passage by passage.</w:t>
      </w:r>
    </w:p>
    <w:p>
      <w:pPr>
        <w:pStyle w:val="Heading1"/>
      </w:pPr>
      <w:r>
        <w:t>Checkpoint 007 Historical and Textual Research Additions</w:t>
      </w:r>
    </w:p>
    <w:p>
      <w:pPr>
        <w:pStyle w:val="ListBullet"/>
      </w:pPr>
      <w:r>
        <w:t>QCA-0001 historical test: compare 5:43-48/66/68 with demonstrably pre-Islamic Torah and Gospel manuscript traditions. Any proposed corruption must identify the exact reading, approximate date, mechanism, and evidence.</w:t>
      </w:r>
    </w:p>
    <w:p>
      <w:pPr>
        <w:pStyle w:val="ListBullet"/>
      </w:pPr>
      <w:r>
        <w:t>Injīl: compare Quranic singular al-Injīl and 5:47’s existing People-of-Gospel command with pre-Islamic Christian use of euangelion and canonical Gospel collections.</w:t>
      </w:r>
    </w:p>
    <w:p>
      <w:pPr>
        <w:pStyle w:val="ListBullet"/>
      </w:pPr>
      <w:r>
        <w:t>5:32: document Mishnah Sanhedrin 4:5 manuscript variants, compilation chronology, and relation to the Quranic life-value maxim without inferring borrowing solely from similarity.</w:t>
      </w:r>
    </w:p>
    <w:p>
      <w:pPr>
        <w:pStyle w:val="ListBullet"/>
      </w:pPr>
      <w:r>
        <w:t>5:31 raven burial: find earliest securely datable Jewish, rabbinic, Syriac, Christian, or Arabian parallels and label each by chronology layer.</w:t>
      </w:r>
    </w:p>
    <w:p>
      <w:pPr>
        <w:pStyle w:val="ListBullet"/>
      </w:pPr>
      <w:r>
        <w:t>5:60 apes/swine: retain literal Arabic noun evidence but defer historical/source and literal/metaphorical adjudication until 7:163-166.</w:t>
      </w:r>
    </w:p>
    <w:p>
      <w:pPr>
        <w:pStyle w:val="ListBullet"/>
      </w:pPr>
      <w:r>
        <w:t>5:64 “God’s hand is chained”: investigate provenance rather than attributing it to Judaism generally.</w:t>
      </w:r>
    </w:p>
    <w:p>
      <w:pPr>
        <w:pStyle w:val="ListBullet"/>
      </w:pPr>
      <w:r>
        <w:t>5:73/116: compare Quranic anti-triadic formulations with Nicene/Chalcedonian texts and documented pre-Islamic Marian devotion, including hostile heresiological sources such as Epiphanius, with chronology and source bias explicit.</w:t>
      </w:r>
    </w:p>
    <w:p>
      <w:pPr>
        <w:pStyle w:val="ListBullet"/>
      </w:pPr>
      <w:r>
        <w:t>5:112-115 Table Spread: investigate canonical, apocryphal, Syriac, Eucharistic, manna, and feeding-tradition parallels without forcing an identification.</w:t>
      </w:r>
    </w:p>
    <w:p>
      <w:pPr>
        <w:pStyle w:val="ListBullet"/>
      </w:pPr>
      <w:r>
        <w:t>5:97: continue independent pre-Islamic evidence search for Mecca/Bakkah/Kaʿbah and Abraham/Ishmael connection.</w:t>
      </w:r>
    </w:p>
    <w:p>
      <w:pPr>
        <w:pStyle w:val="Heading1"/>
      </w:pPr>
      <w:r>
        <w:t>Checkpoint 008 Historical and Textual Research Additions</w:t>
      </w:r>
    </w:p>
    <w:p>
      <w:r>
        <w:t>QB-0094 / 6:20,114: test claimed recognizability of Muhammad against demonstrably pre-Islamic Jewish and Christian manuscripts, grammar, literary context and pre-Islamic interpretation. Candidate texts such as Deuteronomy 18/33, Isaiah 42 and John 14-16 must be tested rather than assumed.</w:t>
      </w:r>
    </w:p>
    <w:p>
      <w:r>
        <w:t>6:34/115: distinguish divine-word inviolability from the historical transmission of manuscript copies. Any corruption claim must identify specific readings, dates, mechanisms and pre-Islamic manuscript evidence.</w:t>
      </w:r>
    </w:p>
    <w:p>
      <w:r>
        <w:t>6:74: investigate Āzar/Terah historically and linguistically. Label alternate-name/title/uncle proposals as later interpretive harmonizations unless independent evidence supports them.</w:t>
      </w:r>
    </w:p>
    <w:p>
      <w:r>
        <w:t>6:75-79: locate the earliest securely datable Jewish, Christian, Syriac or Late Antique parallels to Abraham’s celestial reasoning. Apply Judaism chronology strictly; later midrash cannot be used as a pre-Quranic source without dating.</w:t>
      </w:r>
    </w:p>
    <w:p>
      <w:r>
        <w:t>6:91/154: compare Quranic positive Mosaic-Scripture claims with extant pre-Islamic Torah manuscript traditions and Jewish use. The accusation in 6:91 is selective disclosure/concealment, not explicit universal rewriting.</w:t>
      </w:r>
    </w:p>
    <w:p>
      <w:r>
        <w:t>6:101: compare walad/ṣāḥibah argument with pre-Islamic Nicene and non-Nicene Christian formulations. Separate rejection of biological divine offspring from orthodox eternal Sonship.</w:t>
      </w:r>
    </w:p>
    <w:p>
      <w:r>
        <w:t>6:112-130: research Late Antique Arabian beliefs about jinn and compare cautiously with biblical angel/demon categories; do not flatten distinct supernatural taxonomies.</w:t>
      </w:r>
    </w:p>
    <w:p>
      <w:r>
        <w:t>6:146: compare Quranic punitive rationale for Jewish food restrictions with Torah’s own holiness/covenant rationales and later Jewish interpretation by chronological layer.</w:t>
      </w:r>
    </w:p>
    <w:p>
      <w:r>
        <w:t>6:151-153: compare the ethical summary with Decalogue/Torah forms while testing literary dependence only if wording/order and historical transmission justify it.</w:t>
      </w:r>
    </w:p>
    <w:p>
      <w:r>
        <w:t>6:164: compare individual burden-bearing with Jewish sacrificial/atonement concepts, Isaiah 53 reception, and New Testament atonement while distinguishing personal guilt from representative/substitutionary bearing.</w:t>
      </w:r>
    </w:p>
    <w:p>
      <w:pPr>
        <w:pStyle w:val="Heading1"/>
      </w:pPr>
      <w:r>
        <w:t>Checkpoint 009 Historical / Textual Research Additions</w:t>
      </w:r>
    </w:p>
    <w:p>
      <w:r>
        <w:t>QB-0138 / 7:157: Deuteronomy 18:15-18, Deuteronomy 33:2, Isaiah 42, Song 5:16 and John 14-16 were tested against original-language wording, literary context, pre-Islamic manuscript evidence and pre-Islamic Jewish/Christian interpretation. No candidate presently supplies an unambiguous Muhammad prediction.</w:t>
      </w:r>
    </w:p>
    <w:p>
      <w:r>
        <w:t>Injīl: trace Greek euangelion and Syriac/other Late Antique Christian loanword transmission. Etymology supports ordinary Christian “Gospel” vocabulary, not by itself a lost revelation-book. Pre-Islamic Syriac Gospel witnesses preserve canonical Gospel tradition.</w:t>
      </w:r>
    </w:p>
    <w:p>
      <w:r>
        <w:t>Tawrāt: compare Quran 5:43-45 with Pentateuch manuscript traditions. Dead Sea Scrolls establish pre-Islamic Torah textual plurality plus substantial continuity; post-Muhammad removal of an explicit Deuteronomy prophecy is historically excluded by manuscripts predating Islam.</w:t>
      </w:r>
    </w:p>
    <w:p>
      <w:r>
        <w:t>Sabbath/apes: locate earliest securely datable Jewish, Christian, Syriac and Arabian antecedents to the fishing-Sabbath and ape-transformation narrative. Do not use later tafsir or later rabbinic compilation as automatically pre-Quranic.</w:t>
      </w:r>
    </w:p>
    <w:p>
      <w:r>
        <w:t>Mountain over Israel: investigate rabbinic “mountain like a barrel” tradition, including transmission/redaction dating of b. Shabbat 88a and antecedent layers.</w:t>
      </w:r>
    </w:p>
    <w:p>
      <w:r>
        <w:t>Golden calf/Aaron: compare Exodus 32 with Quran 7 and later Surah 20; track whether al-Sāmirī material has pre-Islamic antecedents.</w:t>
      </w:r>
    </w:p>
    <w:p>
      <w:r>
        <w:t>7:175-176: investigate Balaam identification across Numbers, Second Temple Jewish sources, rabbinic traditions and early Christian reception before accepting later tafsir identification.</w:t>
      </w:r>
    </w:p>
    <w:p>
      <w:pPr>
        <w:pStyle w:val="Heading1"/>
      </w:pPr>
      <w:r>
        <w:t>Master Block 001 Integration - Surahs 8-10</w:t>
      </w:r>
    </w:p>
    <w:p>
      <w:pPr/>
      <w:r>
        <w:t>Surahs 8-10 were completed after CP009 without an intermediate checkpoint, by design. Their material is integrated here as Master Block research content from the preserved project record; no nonexistent checkpoint is asserted.</w:t>
      </w:r>
    </w:p>
    <w:p>
      <w:pPr>
        <w:pStyle w:val="Heading2"/>
      </w:pPr>
      <w:r>
        <w:t>Surahs 8-10 historical and textual research</w:t>
      </w:r>
    </w:p>
    <w:p>
      <w:pPr/>
      <w:r>
        <w:t>9:30 — ʿUzayr/Ezra “son of God”: preserve as a major externally testable representation claim. The Quranic wording is broad (“the Jews say”). The dedicated source-history phase must search pre-Islamic Jewish Scripture, Second Temple Ezra traditions, rabbinic literature, Arabian Jewish evidence, and Christian polemical sources with strict chronology. Later Muslim explanations narrowing the claim to a subgroup cannot be substituted for evidence without labeling.</w:t>
      </w:r>
    </w:p>
    <w:p>
      <w:pPr/>
      <w:r>
        <w:t>9:111 — Torah/Gospel promise: the Quran explicitly says the life/wealth-for-Paradise promise involving fighting/killing/being killed is true in Torah, Gospel, and Quran. This is an externally testable continuity claim and requires direct comparison with historically attested Torah/Gospel texts rather than thematic approximation.</w:t>
      </w:r>
    </w:p>
    <w:p>
      <w:pPr/>
      <w:r>
        <w:t>10:92 — Pharaoh body: the verse claims the body is delivered/preserved as a sign for later people. Historical investigation must distinguish (a) existence of Egyptian royal mummies, (b) identification of the Exodus Pharaoh, (c) what 10:92 itself claims, and (d) later apologetic identification. No specific mummy is established by the Quranic wording alone.</w:t>
      </w:r>
    </w:p>
    <w:p>
      <w:pPr/>
      <w:r>
        <w:t>10:94 — earlier Scripture witness: the conditional/rhetorical wording still uses people reading earlier Scripture as confirmatory witnesses inside the Quran’s argument. This is historically important for QCA-0001 because it sits uneasily with a simple model in which the relevant earlier Scripture had already become unusable in Muhammad’s lifetime.</w:t>
      </w:r>
    </w:p>
    <w:p>
      <w:pPr/>
      <w:r>
        <w:t>8:65-66 — command lightening: historical-juristic investigation should distinguish the Quran’s own explicit lightening from later formal theories of naskh and from later legal extrapolation.</w:t>
      </w:r>
    </w:p>
    <w:p>
      <w:pPr/>
      <w:r>
        <w:t>9:29 — jizya and ṣāghirūn: the verse establishes a payment/subordination condition; later fiscal rates, protected-community institutions, exemptions, humiliation practices, and legal schools belong to later historical layers and must not be projected backward automatically.</w:t>
      </w:r>
    </w:p>
    <w:p>
      <w:pPr/>
      <w:r>
        <w:t>9:40 — cave companion: the Quran says “the second of two” and “his companion” but does not name Abu Bakr in the verse. Identification belongs to sīra/tafsir/hadith tradition and must be labeled as such.</w:t>
      </w:r>
    </w:p>
    <w:p>
      <w:pPr/>
      <w:r>
        <w:t>9:100-101 — Companions and hypocrites: praise of early emigrants/helpers is Quranic; 9:101 simultaneously says Muhammad does not know every hypocrite. Neither verse by itself proves or disproves the historical reliability of individual later hadith transmitters.</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