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12 - Source and Tradition Provenance Ledger</w:t>
      </w:r>
    </w:p>
    <w:p>
      <w:pPr>
        <w:jc w:val="center"/>
      </w:pPr>
      <w:r>
        <w:t>Quran Research Project - Master Block 001 (Surahs 1-10) - Corrected Full-Schema Build</w:t>
      </w:r>
    </w:p>
    <w:p>
      <w:pPr>
        <w:jc w:val="center"/>
      </w:pPr>
      <w:r>
        <w:t>Coverage: Surah 1:1-7; 2:1-286; 3:1-200; 4:1-176; 5:1-120; 6:1-165; 7:1-206; 8:1-75; 9:1-129; 10:1-109 | Built September 14,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Source Category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Use / Control</w:t>
            </w:r>
          </w:p>
        </w:tc>
      </w:tr>
      <w:tr>
        <w:tc>
          <w:tcPr>
            <w:tcW w:type="dxa" w:w="3312"/>
          </w:tcPr>
          <w:p>
            <w:r>
              <w:t>Quran</w:t>
            </w:r>
          </w:p>
        </w:tc>
        <w:tc>
          <w:tcPr>
            <w:tcW w:type="dxa" w:w="3312"/>
          </w:tcPr>
          <w:p>
            <w:r>
              <w:t>Primary</w:t>
            </w:r>
          </w:p>
        </w:tc>
        <w:tc>
          <w:tcPr>
            <w:tcW w:type="dxa" w:w="3312"/>
          </w:tcPr>
          <w:p>
            <w:r>
              <w:t>All conclusions through checkpoint are anchored first in Quran 1:1-7 and 2:1-74.</w:t>
            </w:r>
          </w:p>
        </w:tc>
      </w:tr>
      <w:tr>
        <w:tc>
          <w:tcPr>
            <w:tcW w:type="dxa" w:w="3312"/>
          </w:tcPr>
          <w:p>
            <w:r>
              <w:t>Bible</w:t>
            </w:r>
          </w:p>
        </w:tc>
        <w:tc>
          <w:tcPr>
            <w:tcW w:type="dxa" w:w="3312"/>
          </w:tcPr>
          <w:p>
            <w:r>
              <w:t>Primary comparison</w:t>
            </w:r>
          </w:p>
        </w:tc>
        <w:tc>
          <w:tcPr>
            <w:tcW w:type="dxa" w:w="3312"/>
          </w:tcPr>
          <w:p>
            <w:r>
              <w:t>Genesis 1-3; Exodus 14, 16-17, 19-24, 32; Deuteronomy 21; Psalms 25; Jeremiah/heart imagery; Matthew 23; Romans 2 and 5; Revelation 4.</w:t>
            </w:r>
          </w:p>
        </w:tc>
      </w:tr>
      <w:tr>
        <w:tc>
          <w:tcPr>
            <w:tcW w:type="dxa" w:w="3312"/>
          </w:tcPr>
          <w:p>
            <w:r>
              <w:t>Quranic Arabic Corpus</w:t>
            </w:r>
          </w:p>
        </w:tc>
        <w:tc>
          <w:tcPr>
            <w:tcW w:type="dxa" w:w="3312"/>
          </w:tcPr>
          <w:p>
            <w:r>
              <w:t>Linguistic resource</w:t>
            </w:r>
          </w:p>
        </w:tc>
        <w:tc>
          <w:tcPr>
            <w:tcW w:type="dxa" w:w="3312"/>
          </w:tcPr>
          <w:p>
            <w:r>
              <w:t>Parallel translations, morphology, syntax, and lexical control for Arabic passages.</w:t>
            </w:r>
          </w:p>
        </w:tc>
      </w:tr>
      <w:tr>
        <w:tc>
          <w:tcPr>
            <w:tcW w:type="dxa" w:w="3312"/>
          </w:tcPr>
          <w:p>
            <w:r>
              <w:t>Quran.com / legacy Quran.com</w:t>
            </w:r>
          </w:p>
        </w:tc>
        <w:tc>
          <w:tcPr>
            <w:tcW w:type="dxa" w:w="3312"/>
          </w:tcPr>
          <w:p>
            <w:r>
              <w:t>Translation access</w:t>
            </w:r>
          </w:p>
        </w:tc>
        <w:tc>
          <w:tcPr>
            <w:tcW w:type="dxa" w:w="3312"/>
          </w:tcPr>
          <w:p>
            <w:r>
              <w:t>Used for verse context and representative English renderings; bracketed interpretive additions are not treated as Arabic text.</w:t>
            </w:r>
          </w:p>
        </w:tc>
      </w:tr>
      <w:tr>
        <w:tc>
          <w:tcPr>
            <w:tcW w:type="dxa" w:w="3312"/>
          </w:tcPr>
          <w:p>
            <w:r>
              <w:t>Tafsir</w:t>
            </w:r>
          </w:p>
        </w:tc>
        <w:tc>
          <w:tcPr>
            <w:tcW w:type="dxa" w:w="3312"/>
          </w:tcPr>
          <w:p>
            <w:r>
              <w:t>Interpretive - not Quran</w:t>
            </w:r>
          </w:p>
        </w:tc>
        <w:tc>
          <w:tcPr>
            <w:tcW w:type="dxa" w:w="3312"/>
          </w:tcPr>
          <w:p>
            <w:r>
              <w:t>Only limited interpretive awareness recorded at this checkpoint; no tafsir conclusion has been allowed to replace Quranic wording.</w:t>
            </w:r>
          </w:p>
        </w:tc>
      </w:tr>
      <w:tr>
        <w:tc>
          <w:tcPr>
            <w:tcW w:type="dxa" w:w="3312"/>
          </w:tcPr>
          <w:p>
            <w:r>
              <w:t>Later Islamic tradition</w:t>
            </w:r>
          </w:p>
        </w:tc>
        <w:tc>
          <w:tcPr>
            <w:tcW w:type="dxa" w:w="3312"/>
          </w:tcPr>
          <w:p>
            <w:r>
              <w:t>Interpretive/historical</w:t>
            </w:r>
          </w:p>
        </w:tc>
        <w:tc>
          <w:tcPr>
            <w:tcW w:type="dxa" w:w="3312"/>
          </w:tcPr>
          <w:p>
            <w:r>
              <w:t>Hawwa/Eve naming, expanded doctrines of inimitability, and chronological restrictions on 2:62 are not treated as Quranic statements unless established independently.</w:t>
            </w:r>
          </w:p>
        </w:tc>
      </w:tr>
      <w:tr>
        <w:tc>
          <w:tcPr>
            <w:tcW w:type="dxa" w:w="3312"/>
          </w:tcPr>
          <w:p>
            <w:r>
              <w:t>Modern scholarship</w:t>
            </w:r>
          </w:p>
        </w:tc>
        <w:tc>
          <w:tcPr>
            <w:tcW w:type="dxa" w:w="3312"/>
          </w:tcPr>
          <w:p>
            <w:r>
              <w:t>Secondary</w:t>
            </w:r>
          </w:p>
        </w:tc>
        <w:tc>
          <w:tcPr>
            <w:tcW w:type="dxa" w:w="3312"/>
          </w:tcPr>
          <w:p>
            <w:r>
              <w:t>Not yet used to settle major historical claims in this checkpoint.</w:t>
            </w:r>
          </w:p>
        </w:tc>
      </w:tr>
    </w:tbl>
    <w:p>
      <w:pPr>
        <w:pStyle w:val="Heading1"/>
      </w:pPr>
      <w:r>
        <w:t>Key Provenance Warnings</w:t>
      </w:r>
    </w:p>
    <w:p>
      <w:pPr>
        <w:pStyle w:val="ListBullet"/>
      </w:pPr>
      <w:r>
        <w:t>Do not call Adam's spouse 'Eve/Hawwa' as a Quran 2 statement; she is unnamed there.</w:t>
      </w:r>
    </w:p>
    <w:p>
      <w:pPr>
        <w:pStyle w:val="ListBullet"/>
      </w:pPr>
      <w:r>
        <w:t>Do not insert 'Jews' and 'Christians' into Quran 1:7 as if those nouns occur in the Arabic verse.</w:t>
      </w:r>
    </w:p>
    <w:p>
      <w:pPr>
        <w:pStyle w:val="ListBullet"/>
      </w:pPr>
      <w:r>
        <w:t>Do not treat a bracketed 'before Muhammad' limitation in an English rendering of 2:62 as part of the Arabic text.</w:t>
      </w:r>
    </w:p>
    <w:p>
      <w:pPr>
        <w:pStyle w:val="ListBullet"/>
      </w:pPr>
      <w:r>
        <w:t>Do not equate concealment/substitution language automatically with wholesale manuscript corruption.</w:t>
      </w:r>
    </w:p>
    <w:p>
      <w:pPr>
        <w:pStyle w:val="Heading1"/>
      </w:pPr>
      <w:r>
        <w:t>Checkpoint 002 Provenance Controls</w:t>
      </w:r>
    </w:p>
    <w:p>
      <w:pPr>
        <w:pStyle w:val="ListBullet"/>
      </w:pPr>
      <w:r>
        <w:t>2:104 rāʿinā explanation: Quran supplies the replacement command; insult/wordplay rationale must be labeled tafsir/historical interpretation.</w:t>
      </w:r>
    </w:p>
    <w:p>
      <w:pPr>
        <w:pStyle w:val="ListBullet"/>
      </w:pPr>
      <w:r>
        <w:t>2:87 rūḥ al-qudus: Quranic phrase must remain distinct from later identification with Gabriel unless internal evidence supports equivalence.</w:t>
      </w:r>
    </w:p>
    <w:p>
      <w:pPr>
        <w:pStyle w:val="ListBullet"/>
      </w:pPr>
      <w:r>
        <w:t>2:102 Harut/Marut: standard reading and classical tafsir must be separated from modern harmonizing reinterpretations.</w:t>
      </w:r>
    </w:p>
    <w:p>
      <w:pPr>
        <w:pStyle w:val="ListBullet"/>
      </w:pPr>
      <w:r>
        <w:t>2:116 divine sonship: Quranic walad language must be compared with actual pre-Islamic Christian doctrine rather than a presumed biological model.</w:t>
      </w:r>
    </w:p>
    <w:p>
      <w:pPr>
        <w:pStyle w:val="ListBullet"/>
      </w:pPr>
      <w:r>
        <w:t>2:142 prior qiblah: 'Jerusalem' belongs to early Islamic historical/tafsir provenance unless and until external evidence is separately cited.</w:t>
      </w:r>
    </w:p>
    <w:p>
      <w:pPr>
        <w:pStyle w:val="ListBullet"/>
      </w:pPr>
      <w:r>
        <w:t>Taḥrīf: Quran, hadith, tafsir, medieval polemics, modern apologetics, Jewish/Christian manuscript evidence, and academic textual criticism must remain separate source layers.</w:t>
      </w:r>
    </w:p>
    <w:p>
      <w:pPr>
        <w:pStyle w:val="Heading1"/>
      </w:pPr>
      <w:r>
        <w:t>Checkpoint 003 Provenance Controls</w:t>
      </w:r>
    </w:p>
    <w:p>
      <w:pPr>
        <w:pStyle w:val="ListBullet"/>
      </w:pPr>
      <w:r>
        <w:t>2:178 qiṣāṣ historical rationale from tribal custom belongs to sīrah/tafsir/legal history unless explicitly present in Quranic wording.</w:t>
      </w:r>
    </w:p>
    <w:p>
      <w:pPr>
        <w:pStyle w:val="ListBullet"/>
      </w:pPr>
      <w:r>
        <w:t>2:184-185 fasting harmonization/abrogation claims must be labeled classical tafsir/fiqh, not silently inserted into the Quranic text.</w:t>
      </w:r>
    </w:p>
    <w:p>
      <w:pPr>
        <w:pStyle w:val="ListBullet"/>
      </w:pPr>
      <w:r>
        <w:t>2:191 universal “kill unbelievers” readings and purely defensive-only readings both require testing against the complete Quranic warfare corpus and historical context.</w:t>
      </w:r>
    </w:p>
    <w:p>
      <w:pPr>
        <w:pStyle w:val="ListBullet"/>
      </w:pPr>
      <w:r>
        <w:t>2:217 apostasy death-penalty doctrine must not be attributed to this verse; separate Quran, hadith and fiqh provenance.</w:t>
      </w:r>
    </w:p>
    <w:p>
      <w:pPr>
        <w:pStyle w:val="ListBullet"/>
      </w:pPr>
      <w:r>
        <w:t>2:223 sexual-law specifics belong to tafsir/fiqh unless textually explicit.</w:t>
      </w:r>
    </w:p>
    <w:p>
      <w:pPr>
        <w:pStyle w:val="ListBullet"/>
      </w:pPr>
      <w:r>
        <w:t>2:230 sham halalah practice is not commanded by the Quranic wording; later legal/practical traditions must be distinguished.</w:t>
      </w:r>
    </w:p>
    <w:p>
      <w:pPr>
        <w:pStyle w:val="ListBullet"/>
      </w:pPr>
      <w:r>
        <w:t>2:248-249 Tālūt source parallels require distinction between Quran, canonical Bible, Jewish/Christian traditions and modern source hypotheses.</w:t>
      </w:r>
    </w:p>
    <w:p>
      <w:pPr>
        <w:pStyle w:val="ListBullet"/>
      </w:pPr>
      <w:r>
        <w:t>2:258 ruler = Nimrod and 2:259 man = Ezra are later identifications, not explicit Quranic names.</w:t>
      </w:r>
    </w:p>
    <w:p>
      <w:pPr>
        <w:pStyle w:val="ListBullet"/>
      </w:pPr>
      <w:r>
        <w:t>2:256 later claims of abrogation by “sword verses” must be traced historically and not presupposed.</w:t>
      </w:r>
    </w:p>
    <w:p>
      <w:pPr>
        <w:pStyle w:val="ListBullet"/>
      </w:pPr>
      <w:r>
        <w:t>2:282 universal “female testimony is half” claims go beyond the immediate deferred-debt context unless supported by additional sources.</w:t>
      </w:r>
    </w:p>
    <w:p>
      <w:pPr>
        <w:pStyle w:val="Heading1"/>
      </w:pPr>
      <w:r>
        <w:t>Checkpoint 004 Provenance Controls</w:t>
      </w:r>
    </w:p>
    <w:p>
      <w:pPr>
        <w:pStyle w:val="ListBullet"/>
      </w:pPr>
      <w:r>
        <w:t>3:35: Quran does not name Mary's mother Hannah; that name is later tradition.</w:t>
      </w:r>
    </w:p>
    <w:p>
      <w:pPr>
        <w:pStyle w:val="ListBullet"/>
      </w:pPr>
      <w:r>
        <w:t>3:37: Quran says Mary receives provision but does not explain a mechanism beyond divine source.</w:t>
      </w:r>
    </w:p>
    <w:p>
      <w:pPr>
        <w:pStyle w:val="ListBullet"/>
      </w:pPr>
      <w:r>
        <w:t>3:44: Quran explicitly claims divine revelation of unseen events; pre-existing traditions are separate historical evidence, not automatically disproof.</w:t>
      </w:r>
    </w:p>
    <w:p>
      <w:pPr>
        <w:pStyle w:val="ListBullet"/>
      </w:pPr>
      <w:r>
        <w:t>3:46: Luke 1:39-45 is not an infant-speech parallel.</w:t>
      </w:r>
    </w:p>
    <w:p>
      <w:pPr>
        <w:pStyle w:val="ListBullet"/>
      </w:pPr>
      <w:r>
        <w:t>3:54: makr should not be mechanically rendered 'deception' without contextual lexical analysis.</w:t>
      </w:r>
    </w:p>
    <w:p>
      <w:pPr>
        <w:pStyle w:val="ListBullet"/>
      </w:pPr>
      <w:r>
        <w:t>3:55: mutawaffika cannot be translated to predetermine Jesus' death question.</w:t>
      </w:r>
    </w:p>
    <w:p>
      <w:pPr>
        <w:pStyle w:val="ListBullet"/>
      </w:pPr>
      <w:r>
        <w:t>3:61: Najran delegation identification belongs to historical/tafsir provenance; the verse itself does not name Najran.</w:t>
      </w:r>
    </w:p>
    <w:p>
      <w:pPr>
        <w:pStyle w:val="ListBullet"/>
      </w:pPr>
      <w:r>
        <w:t>3:78: oral/tongue distortion is explicit; total manuscript corruption is not.</w:t>
      </w:r>
    </w:p>
    <w:p>
      <w:pPr>
        <w:pStyle w:val="ListBullet"/>
      </w:pPr>
      <w:r>
        <w:t>3:93: the Torah appeal is Quranic text, not later tafsir.</w:t>
      </w:r>
    </w:p>
    <w:p>
      <w:pPr>
        <w:pStyle w:val="Heading1"/>
      </w:pPr>
      <w:r>
        <w:t>Checkpoint 005 Provenance Controls</w:t>
      </w:r>
    </w:p>
    <w:p>
      <w:pPr>
        <w:pStyle w:val="ListBullet"/>
      </w:pPr>
      <w:r>
        <w:t>3:121ff: “Uhud” is primarily historical/sīrah identification unless the verse itself names the event; do not silently convert tradition into Quranic wording.</w:t>
      </w:r>
    </w:p>
    <w:p>
      <w:pPr>
        <w:pStyle w:val="ListBullet"/>
      </w:pPr>
      <w:r>
        <w:t>3:123 explicitly names Badr and therefore needs no external identification for that verse.</w:t>
      </w:r>
    </w:p>
    <w:p>
      <w:pPr>
        <w:pStyle w:val="ListBullet"/>
      </w:pPr>
      <w:r>
        <w:t>3:124-125 angelic reinforcement is Quranic claim; later narratives specifying angel names, appearances, or battlefield acts must be separately sourced.</w:t>
      </w:r>
    </w:p>
    <w:p>
      <w:pPr>
        <w:pStyle w:val="ListBullet"/>
      </w:pPr>
      <w:r>
        <w:t>3:144 later reports of Abu Bakr invoking the verse after Muhammad’s death are hadith/sīrah evidence, not part of the verse itself.</w:t>
      </w:r>
    </w:p>
    <w:p>
      <w:pPr>
        <w:pStyle w:val="ListBullet"/>
      </w:pPr>
      <w:r>
        <w:t>3:181 and 3:183 are Quranic reports about opponents; historical attribution and representativeness require independent evidence.</w:t>
      </w:r>
    </w:p>
    <w:p>
      <w:pPr>
        <w:pStyle w:val="ListBullet"/>
      </w:pPr>
      <w:r>
        <w:t>3:187 is direct Quranic concealment language and belongs in QCA-0001 without being generalized automatically to manuscript corruption.</w:t>
      </w:r>
    </w:p>
    <w:p>
      <w:pPr>
        <w:pStyle w:val="Heading1"/>
      </w:pPr>
      <w:r>
        <w:t>Checkpoint 006 Provenance Controls</w:t>
      </w:r>
    </w:p>
    <w:p>
      <w:pPr>
        <w:pStyle w:val="ListBullet"/>
      </w:pPr>
      <w:r>
        <w:t>4:1: Adam/Eve names are not explicit in the verse; traditional identification belongs to wider Quran/tafsir context.</w:t>
      </w:r>
    </w:p>
    <w:p>
      <w:pPr>
        <w:pStyle w:val="ListBullet"/>
      </w:pPr>
      <w:r>
        <w:t>4:6: no numerical marriage age is Quranic here; later puberty/age rules are hadith/fiqh/history.</w:t>
      </w:r>
    </w:p>
    <w:p>
      <w:pPr>
        <w:pStyle w:val="ListBullet"/>
      </w:pPr>
      <w:r>
        <w:t>4:24: captive/slave interpretation is classical/legal provenance; the phrase itself is “those whom your right hands possess.”</w:t>
      </w:r>
    </w:p>
    <w:p>
      <w:pPr>
        <w:pStyle w:val="ListBullet"/>
      </w:pPr>
      <w:r>
        <w:t>4:34: physical-striking reading is the dominant traditional interpretation; modern nonphysical readings must be labeled modern/alternative unless early evidence supports them.</w:t>
      </w:r>
    </w:p>
    <w:p>
      <w:pPr>
        <w:pStyle w:val="ListBullet"/>
      </w:pPr>
      <w:r>
        <w:t>4:47/154: Sabbath-breaker reference and Sabbath command are Quranic; fishing/traps details are not yet supplied in these verses.</w:t>
      </w:r>
    </w:p>
    <w:p>
      <w:pPr>
        <w:pStyle w:val="ListBullet"/>
      </w:pPr>
      <w:r>
        <w:t>4:90/94: peace and verification limitations are direct Quranic warfare evidence and must not be erased by later legal generalizations.</w:t>
      </w:r>
    </w:p>
    <w:p>
      <w:pPr>
        <w:pStyle w:val="ListBullet"/>
      </w:pPr>
      <w:r>
        <w:t>4:128: male nushūz is Quranic and must constrain definitions imported into 4:34.</w:t>
      </w:r>
    </w:p>
    <w:p>
      <w:pPr>
        <w:pStyle w:val="ListBullet"/>
      </w:pPr>
      <w:r>
        <w:t>4:157: substitution theory is not fully explicit; shubbiha lahum leaves agent/object/mechanism unstated.</w:t>
      </w:r>
    </w:p>
    <w:p>
      <w:pPr>
        <w:pStyle w:val="ListBullet"/>
      </w:pPr>
      <w:r>
        <w:t>4:159: future-return interpretation belongs to tafsir/hadith unless the Quranic antecedent is independently established.</w:t>
      </w:r>
    </w:p>
    <w:p>
      <w:pPr>
        <w:pStyle w:val="ListBullet"/>
      </w:pPr>
      <w:r>
        <w:t>4:171: Nicene Creed and pre-Islamic Christian theology are external comparison sources; later Muslim polemics do not define what fourth-century Christianity taught.</w:t>
      </w:r>
    </w:p>
    <w:p>
      <w:pPr>
        <w:pStyle w:val="ListBullet"/>
      </w:pPr>
      <w:r>
        <w:t>Judaism evidence must always carry layer/date labels: Tanakh; Second Temple; Rabbinic; later.</w:t>
      </w:r>
    </w:p>
    <w:p>
      <w:pPr>
        <w:pStyle w:val="Heading1"/>
      </w:pPr>
      <w:r>
        <w:t>Checkpoint 007 Provenance Controls</w:t>
      </w:r>
    </w:p>
    <w:p>
      <w:pPr>
        <w:pStyle w:val="ListBullet"/>
      </w:pPr>
      <w:r>
        <w:t>5:27-31: Quran says “two sons of Adam”; Cain/Abel names come from comparison/tradition.</w:t>
      </w:r>
    </w:p>
    <w:p>
      <w:pPr>
        <w:pStyle w:val="ListBullet"/>
      </w:pPr>
      <w:r>
        <w:t>5:31: raven burial is Quranic; any Jewish/Christian parallel must carry date/layer labels.</w:t>
      </w:r>
    </w:p>
    <w:p>
      <w:pPr>
        <w:pStyle w:val="ListBullet"/>
      </w:pPr>
      <w:r>
        <w:t>5:32: Mishnah Sanhedrin is rabbinic, not Torah; exact text varies by manuscript tradition.</w:t>
      </w:r>
    </w:p>
    <w:p>
      <w:pPr>
        <w:pStyle w:val="ListBullet"/>
      </w:pPr>
      <w:r>
        <w:t>5:33: later ḥirābah fiqh cannot be silently substituted for Quranic “waging war/spreading corruption” wording.</w:t>
      </w:r>
    </w:p>
    <w:p>
      <w:pPr>
        <w:pStyle w:val="ListBullet"/>
      </w:pPr>
      <w:r>
        <w:t>5:38: Quran directly gives hand-cutting; later thresholds, evidentiary rules, anatomical scope, and famine exceptions are jurisprudential layers.</w:t>
      </w:r>
    </w:p>
    <w:p>
      <w:pPr>
        <w:pStyle w:val="ListBullet"/>
      </w:pPr>
      <w:r>
        <w:t>5:41: distortion language must not be inflated automatically into global manuscript corruption.</w:t>
      </w:r>
    </w:p>
    <w:p>
      <w:pPr>
        <w:pStyle w:val="ListBullet"/>
      </w:pPr>
      <w:r>
        <w:t>5:43-48: Torah/Gospel positive authority statements are Quranic text, not later apologetic interpretation.</w:t>
      </w:r>
    </w:p>
    <w:p>
      <w:pPr>
        <w:pStyle w:val="ListBullet"/>
      </w:pPr>
      <w:r>
        <w:t>5:51: “friends” is not an adequate unqualified gloss for awliyāʾ.</w:t>
      </w:r>
    </w:p>
    <w:p>
      <w:pPr>
        <w:pStyle w:val="ListBullet"/>
      </w:pPr>
      <w:r>
        <w:t>5:60: qiradah means apes; metaphorical interpretation is secondary interpretation, not lexical translation.</w:t>
      </w:r>
    </w:p>
    <w:p>
      <w:pPr>
        <w:pStyle w:val="ListBullet"/>
      </w:pPr>
      <w:r>
        <w:t>5:64: “God’s hand is chained” is a Quranic attribution whose historical Jewish provenance remains unverified.</w:t>
      </w:r>
    </w:p>
    <w:p>
      <w:pPr>
        <w:pStyle w:val="ListBullet"/>
      </w:pPr>
      <w:r>
        <w:t>5:73: “third of three” must be compared with actual pre-Islamic Christian formulations rather than later caricatures.</w:t>
      </w:r>
    </w:p>
    <w:p>
      <w:pPr>
        <w:pStyle w:val="ListBullet"/>
      </w:pPr>
      <w:r>
        <w:t>5:116: Quran does not use the word Trinity in the verse; Jesus/Mary as two gods is explicit, while identifying that formula with mainstream Trinity is an external interpretive claim.</w:t>
      </w:r>
    </w:p>
    <w:p>
      <w:pPr>
        <w:pStyle w:val="ListBullet"/>
      </w:pPr>
      <w:r>
        <w:t>5:117: w-f-y meaning must remain open pending corpus analysis.</w:t>
      </w:r>
    </w:p>
    <w:p>
      <w:pPr>
        <w:pStyle w:val="Heading1"/>
      </w:pPr>
      <w:r>
        <w:t>Checkpoint 008 Provenance Controls</w:t>
      </w:r>
    </w:p>
    <w:p>
      <w:r>
        <w:t>6:20/114: the Quranic recognition claim is primary Quran evidence; later Muslim identifications of biblical prophecies are interpretive sources and must be dated separately.</w:t>
      </w:r>
    </w:p>
    <w:p>
      <w:r>
        <w:t>6:38/59: identifying al-kitāb with a heavenly/divine record is contextual interpretation; do not silently rewrite the verse as “the physical Quran contains every fact.”</w:t>
      </w:r>
    </w:p>
    <w:p>
      <w:r>
        <w:t>6:60-61: w-f-y semantic evidence is internal Quranic evidence and has priority over later theological assumptions about Jesus’ death.</w:t>
      </w:r>
    </w:p>
    <w:p>
      <w:r>
        <w:t>6:74: Āzar is Quranic text; Terah is biblical text; later harmonizations are secondary unless externally evidenced.</w:t>
      </w:r>
    </w:p>
    <w:p>
      <w:r>
        <w:t>6:75-79: any Abraham celestial-discovery parallel must carry exact source date/layer (Tanakh, Second Temple, rabbinic, later).</w:t>
      </w:r>
    </w:p>
    <w:p>
      <w:r>
        <w:t>6:91: selective display/concealment is explicit Quranic wording; “entire Torah rewritten” is not the verse’s wording.</w:t>
      </w:r>
    </w:p>
    <w:p>
      <w:r>
        <w:t>6:101: no-consort argument is explicit; “Quran says Christians believe God had sex with Mary” is an overstatement and must not be entered as Quranic text.</w:t>
      </w:r>
    </w:p>
    <w:p>
      <w:r>
        <w:t>6:112-130: jinn beliefs in tafsir/hadith/folklore must remain separate from the Quran’s own statements.</w:t>
      </w:r>
    </w:p>
    <w:p>
      <w:r>
        <w:t>6:146: Quranic punitive rationale and Torah holiness rationale are distinct primary-source claims; later apologetic reconciliations are secondary.</w:t>
      </w:r>
    </w:p>
    <w:p>
      <w:r>
        <w:t>6:159: later Sunni/Shiʿa denominational history must not be retrojected into the lexical reference to sects/factions.</w:t>
      </w:r>
    </w:p>
    <w:p>
      <w:pPr>
        <w:pStyle w:val="Heading1"/>
      </w:pPr>
      <w:r>
        <w:t>Checkpoint 009 Provenance Controls</w:t>
      </w:r>
    </w:p>
    <w:p>
      <w:r>
        <w:t>7:157 Quranic claim is primary evidence; Muslim identifications of Deut 18/33, Isa 42, Song 5:16 and Paraclete are later interpretive arguments and must not be back-projected into the biblical texts.</w:t>
      </w:r>
    </w:p>
    <w:p>
      <w:r>
        <w:t>Injīl etymology and Christian usage are historical-linguistic evidence; the Quran’s revelation-book framing is Quranic theology. Keep those categories distinct.</w:t>
      </w:r>
    </w:p>
    <w:p>
      <w:r>
        <w:t>Tawrāt manuscript evidence demonstrates textual continuity/variation; it does not by itself prove Mosaic authorship or every modern textual reading.</w:t>
      </w:r>
    </w:p>
    <w:p>
      <w:r>
        <w:t>7:166 ape transformation is Quranic text; literal/metaphorical explanations are interpretive layers.</w:t>
      </w:r>
    </w:p>
    <w:p>
      <w:r>
        <w:t>7:171 raised mountain is Quranic text; b. Shabbat 88a is rabbinic evidence whose compilation and antecedent dating must be stated.</w:t>
      </w:r>
    </w:p>
    <w:p>
      <w:r>
        <w:t>7:175-176 anonymous figure is Quranic text; Balaam identification is secondary unless independent pre-Islamic evidence supports the link.</w:t>
      </w:r>
    </w:p>
    <w:p>
      <w:r>
        <w:t>Golden calf: Exodus Aaron role and Quran Aaron role are separate primary-source claims; harmonization is secondary.</w:t>
      </w:r>
    </w:p>
    <w:p>
      <w:pPr>
        <w:pStyle w:val="Heading1"/>
      </w:pPr>
      <w:r>
        <w:t>Master Block 001 Integration - Surahs 8-10</w:t>
      </w:r>
    </w:p>
    <w:p>
      <w:pPr/>
      <w:r>
        <w:t>Surahs 8-10 were completed after CP009 without an intermediate checkpoint, by design. Their material is integrated here as Master Block research content from the preserved project record; no nonexistent checkpoint is asserted.</w:t>
      </w:r>
    </w:p>
    <w:p>
      <w:pPr>
        <w:pStyle w:val="Heading2"/>
      </w:pPr>
      <w:r>
        <w:t>Surahs 8-10 source / tradition provenance controls</w:t>
      </w:r>
    </w:p>
    <w:p>
      <w:pPr/>
      <w:r>
        <w:t>Quran layer: all verse-derived claims above are recorded from Quran 8-10. Later identification of unnamed persons/events must not be silently inserted into Quranic wording.</w:t>
      </w:r>
    </w:p>
    <w:p>
      <w:pPr/>
      <w:r>
        <w:t>Tafsir/sīra/hadith layer: Abu Bakr as cave companion, detailed occasions of revelation, specific treaty parties, campaign chronology, and later explanations of ʿUzayr must be marked as post-Quranic transmitted interpretation/history unless independently established.</w:t>
      </w:r>
    </w:p>
    <w:p>
      <w:pPr/>
      <w:r>
        <w:t>Jewish source layer: Ezra/ʿUzayr, Torah warfare promises, Abraham/father traditions, Moses/Pharaoh, and Jonah parallels require Hebrew Bible, Second Temple, rabbinic, and later Jewish evidence to be chronologically separated.</w:t>
      </w:r>
    </w:p>
    <w:p>
      <w:pPr/>
      <w:r>
        <w:t>Christian source layer: Gospel promise claims, spiritual hearing/seeing parallels, foundation metaphors, and prophetic/intercession comparisons must distinguish canonical New Testament from later patristic and Late Antique material.</w:t>
      </w:r>
    </w:p>
    <w:p>
      <w:pPr/>
      <w:r>
        <w:t>Modern apologetic/polemical layer: claims identifying 10:92 with a particular mummy, treating 9:30 as proven by an obscure subgroup without evidence, or claiming 9:111 is fulfilled by generic martyrdom language are not primary-source findings and require independent testing.</w:t>
      </w:r>
    </w:p>
    <w:p>
      <w:pPr/>
      <w:r>
        <w:t>No-source-substitution rule: a later explanation may resolve an apparent difficulty only if its historical evidence and chronology are supplied; it cannot replace the Quran’s own wording in the primary-text record.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