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EXAMINATION — ADAM’S TWO SONS (5:27–32)</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5:27–32 in place; compared with Genesis 4 and Mishnah Sanhedrin 4:5</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QB-0112–0115; QDISC-0196–0198</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Level 1 text</w:t>
      </w:r>
    </w:p>
    <w:p>
      <w:pPr>
        <w:spacing w:after="160"/>
      </w:pPr>
      <w:r>
        <w:rPr>
          <w:rFonts w:ascii="Calibri" w:hAnsi="Calibri" w:eastAsia="Calibri"/>
          <w:b w:val="0"/>
          <w:i w:val="0"/>
          <w:color w:val="222222"/>
          <w:sz w:val="22"/>
        </w:rPr>
        <w:t>Recite to them the story of Adam’s two sons in truth. They both offered a qurbān. It was accepted from one of them and not from the other. The other: I will kill you. The first: God accepts only from the muttaqīn. If you stretch your hand toward me to kill me, I will not stretch my hand toward you to kill you; I fear God, Lord of the worlds. I want you to bear my sin and your sin and be of the companions of the Fire. That is the repayment of the ẓālimīn. His soul prompted him to kill his brother; he killed him; he became of the losers. God sent a crow scratching the earth to show him how to hide his brother’s sawʾa. He said: woe to me; was I unable to be like this crow and hide my brother’s sawʾa? He became of the nādimīn. Because of that We wrote upon the Children of Israel: whoever kills a nafs — not for a nafs or fasād in the land — it is as if he killed the people all together; whoever gives it life, it is as if he gave life to the people all together. Our messengers came to them with the bayyināt; then many of them after that are committers of excess in the land.</w:t>
      </w:r>
    </w:p>
    <w:p>
      <w:pPr>
        <w:pStyle w:val="Heading1"/>
      </w:pPr>
      <w:r>
        <w:rPr>
          <w:rFonts w:ascii="Calibri" w:hAnsi="Calibri"/>
          <w:color w:val="1B3A4B"/>
        </w:rPr>
        <w:t>2. What this telling names and does not name</w:t>
      </w:r>
    </w:p>
    <w:p>
      <w:pPr>
        <w:spacing w:after="160"/>
      </w:pPr>
      <w:r>
        <w:rPr>
          <w:rFonts w:ascii="Calibri" w:hAnsi="Calibri" w:eastAsia="Calibri"/>
          <w:b w:val="0"/>
          <w:i w:val="0"/>
          <w:color w:val="222222"/>
          <w:sz w:val="22"/>
        </w:rPr>
        <w:t>Names: two sons of Adam; an offering; acceptance from one; a kill-threat; a refusal to stretch the hand; a transfer-of-sin wish; the nafs prompting; a crow teaching burial; regret; a writing upon Israel about killing-one / saving-one.</w:t>
      </w:r>
    </w:p>
    <w:p>
      <w:pPr>
        <w:spacing w:after="160"/>
      </w:pPr>
      <w:r>
        <w:rPr>
          <w:rFonts w:ascii="Calibri" w:hAnsi="Calibri" w:eastAsia="Calibri"/>
          <w:b w:val="0"/>
          <w:i w:val="0"/>
          <w:color w:val="222222"/>
          <w:sz w:val="22"/>
        </w:rPr>
        <w:t>Does not name: Qābīl / Hābīl (those names are tafsir); farmer vs shepherd; fat firstlings vs fruit of the ground; God’s speech to the rejected brother before the murder; sin crouching at the door; a mark; wandering east of Eden; a city; Lamech; blood crying from the ground.</w:t>
      </w:r>
    </w:p>
    <w:p>
      <w:pPr>
        <w:spacing w:after="160"/>
      </w:pPr>
      <w:r>
        <w:rPr>
          <w:rFonts w:ascii="Calibri" w:hAnsi="Calibri" w:eastAsia="Calibri"/>
          <w:b w:val="0"/>
          <w:i w:val="0"/>
          <w:color w:val="222222"/>
          <w:sz w:val="22"/>
        </w:rPr>
        <w:t>The offering’s contents are not given. Acceptance is explained in one sentence: God accepts only from the muttaqīn. That is this telling’s theology of the rejected gift. Genesis 4 does not say that sentence. Genesis 4:7 is “if you do well… sin is crouching.” Two different comments on the same fork.</w:t>
      </w:r>
    </w:p>
    <w:p>
      <w:pPr>
        <w:pStyle w:val="Heading1"/>
      </w:pPr>
      <w:r>
        <w:rPr>
          <w:rFonts w:ascii="Calibri" w:hAnsi="Calibri"/>
          <w:color w:val="1B3A4B"/>
        </w:rPr>
        <w:t>3. Scene by scene against Genesis 4</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Beat</w:t>
            </w:r>
          </w:p>
        </w:tc>
        <w:tc>
          <w:tcPr>
            <w:tcW w:type="dxa" w:w="3264"/>
            <w:shd w:fill="1B3A4B" w:val="clear"/>
          </w:tcPr>
          <w:p>
            <w:r/>
            <w:r>
              <w:rPr>
                <w:rFonts w:ascii="Calibri" w:hAnsi="Calibri" w:eastAsia="Calibri"/>
                <w:b/>
                <w:i w:val="0"/>
                <w:color w:val="FFFFFF"/>
                <w:sz w:val="18"/>
              </w:rPr>
              <w:t>Genesis 4</w:t>
            </w:r>
          </w:p>
        </w:tc>
        <w:tc>
          <w:tcPr>
            <w:tcW w:type="dxa" w:w="3264"/>
            <w:shd w:fill="1B3A4B" w:val="clear"/>
          </w:tcPr>
          <w:p>
            <w:r/>
            <w:r>
              <w:rPr>
                <w:rFonts w:ascii="Calibri" w:hAnsi="Calibri" w:eastAsia="Calibri"/>
                <w:b/>
                <w:i w:val="0"/>
                <w:color w:val="FFFFFF"/>
                <w:sz w:val="18"/>
              </w:rPr>
              <w:t>Quran 5:27–31</w:t>
            </w:r>
          </w:p>
        </w:tc>
      </w:tr>
      <w:tr>
        <w:tc>
          <w:tcPr>
            <w:tcW w:type="dxa" w:w="3264"/>
          </w:tcPr>
          <w:p>
            <w:r/>
            <w:r>
              <w:rPr>
                <w:rFonts w:ascii="Calibri" w:hAnsi="Calibri" w:eastAsia="Calibri"/>
                <w:b w:val="0"/>
                <w:i w:val="0"/>
                <w:color w:val="222222"/>
                <w:sz w:val="18"/>
              </w:rPr>
              <w:t>Actors named?</w:t>
            </w:r>
          </w:p>
        </w:tc>
        <w:tc>
          <w:tcPr>
            <w:tcW w:type="dxa" w:w="3264"/>
          </w:tcPr>
          <w:p>
            <w:r/>
            <w:r>
              <w:rPr>
                <w:rFonts w:ascii="Calibri" w:hAnsi="Calibri" w:eastAsia="Calibri"/>
                <w:b w:val="0"/>
                <w:i w:val="0"/>
                <w:color w:val="222222"/>
                <w:sz w:val="18"/>
              </w:rPr>
              <w:t>Cain the worker of the ground; Abel the keeper of sheep</w:t>
            </w:r>
          </w:p>
        </w:tc>
        <w:tc>
          <w:tcPr>
            <w:tcW w:type="dxa" w:w="3264"/>
          </w:tcPr>
          <w:p>
            <w:r/>
            <w:r>
              <w:rPr>
                <w:rFonts w:ascii="Calibri" w:hAnsi="Calibri" w:eastAsia="Calibri"/>
                <w:b w:val="0"/>
                <w:i w:val="0"/>
                <w:color w:val="222222"/>
                <w:sz w:val="18"/>
              </w:rPr>
              <w:t>Two sons of Adam; no names, no jobs</w:t>
            </w:r>
          </w:p>
        </w:tc>
      </w:tr>
      <w:tr>
        <w:tc>
          <w:tcPr>
            <w:tcW w:type="dxa" w:w="3264"/>
            <w:shd w:fill="F4F1EA" w:val="clear"/>
          </w:tcPr>
          <w:p>
            <w:r/>
            <w:r>
              <w:rPr>
                <w:rFonts w:ascii="Calibri" w:hAnsi="Calibri" w:eastAsia="Calibri"/>
                <w:b w:val="0"/>
                <w:i w:val="0"/>
                <w:color w:val="222222"/>
                <w:sz w:val="18"/>
              </w:rPr>
              <w:t>Gifts</w:t>
            </w:r>
          </w:p>
        </w:tc>
        <w:tc>
          <w:tcPr>
            <w:tcW w:type="dxa" w:w="3264"/>
            <w:shd w:fill="F4F1EA" w:val="clear"/>
          </w:tcPr>
          <w:p>
            <w:r/>
            <w:r>
              <w:rPr>
                <w:rFonts w:ascii="Calibri" w:hAnsi="Calibri" w:eastAsia="Calibri"/>
                <w:b w:val="0"/>
                <w:i w:val="0"/>
                <w:color w:val="222222"/>
                <w:sz w:val="18"/>
              </w:rPr>
              <w:t>Cain: fruit of the ground. Abel: firstlings and their fat</w:t>
            </w:r>
          </w:p>
        </w:tc>
        <w:tc>
          <w:tcPr>
            <w:tcW w:type="dxa" w:w="3264"/>
            <w:shd w:fill="F4F1EA" w:val="clear"/>
          </w:tcPr>
          <w:p>
            <w:r/>
            <w:r>
              <w:rPr>
                <w:rFonts w:ascii="Calibri" w:hAnsi="Calibri" w:eastAsia="Calibri"/>
                <w:b w:val="0"/>
                <w:i w:val="0"/>
                <w:color w:val="222222"/>
                <w:sz w:val="18"/>
              </w:rPr>
              <w:t>A qurban each; contents unnamed</w:t>
            </w:r>
          </w:p>
        </w:tc>
      </w:tr>
      <w:tr>
        <w:tc>
          <w:tcPr>
            <w:tcW w:type="dxa" w:w="3264"/>
          </w:tcPr>
          <w:p>
            <w:r/>
            <w:r>
              <w:rPr>
                <w:rFonts w:ascii="Calibri" w:hAnsi="Calibri" w:eastAsia="Calibri"/>
                <w:b w:val="0"/>
                <w:i w:val="0"/>
                <w:color w:val="222222"/>
                <w:sz w:val="18"/>
              </w:rPr>
              <w:t>Why accepted / not?</w:t>
            </w:r>
          </w:p>
        </w:tc>
        <w:tc>
          <w:tcPr>
            <w:tcW w:type="dxa" w:w="3264"/>
          </w:tcPr>
          <w:p>
            <w:r/>
            <w:r>
              <w:rPr>
                <w:rFonts w:ascii="Calibri" w:hAnsi="Calibri" w:eastAsia="Calibri"/>
                <w:b w:val="0"/>
                <w:i w:val="0"/>
                <w:color w:val="222222"/>
                <w:sz w:val="18"/>
              </w:rPr>
              <w:t>The Lord had regard for Abel and his offering; not for Cain. No further reason in the verse. 4:7: if you do well, lifted</w:t>
            </w:r>
          </w:p>
        </w:tc>
        <w:tc>
          <w:tcPr>
            <w:tcW w:type="dxa" w:w="3264"/>
          </w:tcPr>
          <w:p>
            <w:r/>
            <w:r>
              <w:rPr>
                <w:rFonts w:ascii="Calibri" w:hAnsi="Calibri" w:eastAsia="Calibri"/>
                <w:b w:val="0"/>
                <w:i w:val="0"/>
                <w:color w:val="222222"/>
                <w:sz w:val="18"/>
              </w:rPr>
              <w:t>Accepted from one. The accepted brother: God accepts only from the muttaqin</w:t>
            </w:r>
          </w:p>
        </w:tc>
      </w:tr>
      <w:tr>
        <w:tc>
          <w:tcPr>
            <w:tcW w:type="dxa" w:w="3264"/>
            <w:shd w:fill="F4F1EA" w:val="clear"/>
          </w:tcPr>
          <w:p>
            <w:r/>
            <w:r>
              <w:rPr>
                <w:rFonts w:ascii="Calibri" w:hAnsi="Calibri" w:eastAsia="Calibri"/>
                <w:b w:val="0"/>
                <w:i w:val="0"/>
                <w:color w:val="222222"/>
                <w:sz w:val="18"/>
              </w:rPr>
              <w:t>God speaks to the killer before the act?</w:t>
            </w:r>
          </w:p>
        </w:tc>
        <w:tc>
          <w:tcPr>
            <w:tcW w:type="dxa" w:w="3264"/>
            <w:shd w:fill="F4F1EA" w:val="clear"/>
          </w:tcPr>
          <w:p>
            <w:r/>
            <w:r>
              <w:rPr>
                <w:rFonts w:ascii="Calibri" w:hAnsi="Calibri" w:eastAsia="Calibri"/>
                <w:b w:val="0"/>
                <w:i w:val="0"/>
                <w:color w:val="222222"/>
                <w:sz w:val="18"/>
              </w:rPr>
              <w:t>Yes — why is your face fallen; sin crouching; you must rule it</w:t>
            </w:r>
          </w:p>
        </w:tc>
        <w:tc>
          <w:tcPr>
            <w:tcW w:type="dxa" w:w="3264"/>
            <w:shd w:fill="F4F1EA" w:val="clear"/>
          </w:tcPr>
          <w:p>
            <w:r/>
            <w:r>
              <w:rPr>
                <w:rFonts w:ascii="Calibri" w:hAnsi="Calibri" w:eastAsia="Calibri"/>
                <w:b w:val="0"/>
                <w:i w:val="0"/>
                <w:color w:val="222222"/>
                <w:sz w:val="18"/>
              </w:rPr>
              <w:t>No pre-murder divine speech to the killer</w:t>
            </w:r>
          </w:p>
        </w:tc>
      </w:tr>
      <w:tr>
        <w:tc>
          <w:tcPr>
            <w:tcW w:type="dxa" w:w="3264"/>
          </w:tcPr>
          <w:p>
            <w:r/>
            <w:r>
              <w:rPr>
                <w:rFonts w:ascii="Calibri" w:hAnsi="Calibri" w:eastAsia="Calibri"/>
                <w:b w:val="0"/>
                <w:i w:val="0"/>
                <w:color w:val="222222"/>
                <w:sz w:val="18"/>
              </w:rPr>
              <w:t>Victim's speech</w:t>
            </w:r>
          </w:p>
        </w:tc>
        <w:tc>
          <w:tcPr>
            <w:tcW w:type="dxa" w:w="3264"/>
          </w:tcPr>
          <w:p>
            <w:r/>
            <w:r>
              <w:rPr>
                <w:rFonts w:ascii="Calibri" w:hAnsi="Calibri" w:eastAsia="Calibri"/>
                <w:b w:val="0"/>
                <w:i w:val="0"/>
                <w:color w:val="222222"/>
                <w:sz w:val="18"/>
              </w:rPr>
              <w:t>None. Abel never speaks</w:t>
            </w:r>
          </w:p>
        </w:tc>
        <w:tc>
          <w:tcPr>
            <w:tcW w:type="dxa" w:w="3264"/>
          </w:tcPr>
          <w:p>
            <w:r/>
            <w:r>
              <w:rPr>
                <w:rFonts w:ascii="Calibri" w:hAnsi="Calibri" w:eastAsia="Calibri"/>
                <w:b w:val="0"/>
                <w:i w:val="0"/>
                <w:color w:val="222222"/>
                <w:sz w:val="18"/>
              </w:rPr>
              <w:t>Long: I will not stretch my hand; I fear God; I want you to bear my sin and yours</w:t>
            </w:r>
          </w:p>
        </w:tc>
      </w:tr>
      <w:tr>
        <w:tc>
          <w:tcPr>
            <w:tcW w:type="dxa" w:w="3264"/>
            <w:shd w:fill="F4F1EA" w:val="clear"/>
          </w:tcPr>
          <w:p>
            <w:r/>
            <w:r>
              <w:rPr>
                <w:rFonts w:ascii="Calibri" w:hAnsi="Calibri" w:eastAsia="Calibri"/>
                <w:b w:val="0"/>
                <w:i w:val="0"/>
                <w:color w:val="222222"/>
                <w:sz w:val="18"/>
              </w:rPr>
              <w:t>The killing</w:t>
            </w:r>
          </w:p>
        </w:tc>
        <w:tc>
          <w:tcPr>
            <w:tcW w:type="dxa" w:w="3264"/>
            <w:shd w:fill="F4F1EA" w:val="clear"/>
          </w:tcPr>
          <w:p>
            <w:r/>
            <w:r>
              <w:rPr>
                <w:rFonts w:ascii="Calibri" w:hAnsi="Calibri" w:eastAsia="Calibri"/>
                <w:b w:val="0"/>
                <w:i w:val="0"/>
                <w:color w:val="222222"/>
                <w:sz w:val="18"/>
              </w:rPr>
              <w:t>Cain rose against Abel his brother and killed him</w:t>
            </w:r>
          </w:p>
        </w:tc>
        <w:tc>
          <w:tcPr>
            <w:tcW w:type="dxa" w:w="3264"/>
            <w:shd w:fill="F4F1EA" w:val="clear"/>
          </w:tcPr>
          <w:p>
            <w:r/>
            <w:r>
              <w:rPr>
                <w:rFonts w:ascii="Calibri" w:hAnsi="Calibri" w:eastAsia="Calibri"/>
                <w:b w:val="0"/>
                <w:i w:val="0"/>
                <w:color w:val="222222"/>
                <w:sz w:val="18"/>
              </w:rPr>
              <w:t>His nafs prompted him; he killed him; he became of the losers</w:t>
            </w:r>
          </w:p>
        </w:tc>
      </w:tr>
      <w:tr>
        <w:tc>
          <w:tcPr>
            <w:tcW w:type="dxa" w:w="3264"/>
          </w:tcPr>
          <w:p>
            <w:r/>
            <w:r>
              <w:rPr>
                <w:rFonts w:ascii="Calibri" w:hAnsi="Calibri" w:eastAsia="Calibri"/>
                <w:b w:val="0"/>
                <w:i w:val="0"/>
                <w:color w:val="222222"/>
                <w:sz w:val="18"/>
              </w:rPr>
              <w:t>After</w:t>
            </w:r>
          </w:p>
        </w:tc>
        <w:tc>
          <w:tcPr>
            <w:tcW w:type="dxa" w:w="3264"/>
          </w:tcPr>
          <w:p>
            <w:r/>
            <w:r>
              <w:rPr>
                <w:rFonts w:ascii="Calibri" w:hAnsi="Calibri" w:eastAsia="Calibri"/>
                <w:b w:val="0"/>
                <w:i w:val="0"/>
                <w:color w:val="222222"/>
                <w:sz w:val="18"/>
              </w:rPr>
              <w:t>Where is Abel? Blood cries out. Mark. Wanderer. Wife. City</w:t>
            </w:r>
          </w:p>
        </w:tc>
        <w:tc>
          <w:tcPr>
            <w:tcW w:type="dxa" w:w="3264"/>
          </w:tcPr>
          <w:p>
            <w:r/>
            <w:r>
              <w:rPr>
                <w:rFonts w:ascii="Calibri" w:hAnsi="Calibri" w:eastAsia="Calibri"/>
                <w:b w:val="0"/>
                <w:i w:val="0"/>
                <w:color w:val="222222"/>
                <w:sz w:val="18"/>
              </w:rPr>
              <w:t>A crow scratches the earth to show burial of the saw'a. Woe; I could not be like the crow. He became regretful</w:t>
            </w:r>
          </w:p>
        </w:tc>
      </w:tr>
      <w:tr>
        <w:tc>
          <w:tcPr>
            <w:tcW w:type="dxa" w:w="3264"/>
            <w:shd w:fill="F4F1EA" w:val="clear"/>
          </w:tcPr>
          <w:p>
            <w:r/>
            <w:r>
              <w:rPr>
                <w:rFonts w:ascii="Calibri" w:hAnsi="Calibri" w:eastAsia="Calibri"/>
                <w:b w:val="0"/>
                <w:i w:val="0"/>
                <w:color w:val="222222"/>
                <w:sz w:val="18"/>
              </w:rPr>
              <w:t>Law drawn from it</w:t>
            </w:r>
          </w:p>
        </w:tc>
        <w:tc>
          <w:tcPr>
            <w:tcW w:type="dxa" w:w="3264"/>
            <w:shd w:fill="F4F1EA" w:val="clear"/>
          </w:tcPr>
          <w:p>
            <w:r/>
            <w:r>
              <w:rPr>
                <w:rFonts w:ascii="Calibri" w:hAnsi="Calibri" w:eastAsia="Calibri"/>
                <w:b w:val="0"/>
                <w:i w:val="0"/>
                <w:color w:val="222222"/>
                <w:sz w:val="18"/>
              </w:rPr>
              <w:t>Not in Gen 4. Blood-vengeance and mark are the immediate sequel</w:t>
            </w:r>
          </w:p>
        </w:tc>
        <w:tc>
          <w:tcPr>
            <w:tcW w:type="dxa" w:w="3264"/>
            <w:shd w:fill="F4F1EA" w:val="clear"/>
          </w:tcPr>
          <w:p>
            <w:r/>
            <w:r>
              <w:rPr>
                <w:rFonts w:ascii="Calibri" w:hAnsi="Calibri" w:eastAsia="Calibri"/>
                <w:b w:val="0"/>
                <w:i w:val="0"/>
                <w:color w:val="222222"/>
                <w:sz w:val="18"/>
              </w:rPr>
              <w:t>5:32: We wrote on Banu Isra'il the one-soul / all-people equation</w:t>
            </w:r>
          </w:p>
        </w:tc>
      </w:tr>
    </w:tbl>
    <w:p/>
    <w:p>
      <w:pPr>
        <w:spacing w:after="160"/>
      </w:pPr>
      <w:r>
        <w:rPr>
          <w:rFonts w:ascii="Calibri" w:hAnsi="Calibri" w:eastAsia="Calibri"/>
          <w:b w:val="0"/>
          <w:i w:val="0"/>
          <w:color w:val="222222"/>
          <w:sz w:val="22"/>
        </w:rPr>
        <w:t>QB-0112 AGREEMENT of plot-spine: two brothers, two offerings, one accepted, a killing. QB-0113 CONTRAST of speech and aftermath: Genesis gives God the pre-murder warning and the blood-cry; the Quran gives the victim a refusal-speech and gives a crow the burial-lesson. Abel’s silence in Genesis is a real difference, not an accident of length.</w:t>
      </w:r>
    </w:p>
    <w:p>
      <w:pPr>
        <w:pStyle w:val="Heading1"/>
      </w:pPr>
      <w:r>
        <w:rPr>
          <w:rFonts w:ascii="Calibri" w:hAnsi="Calibri"/>
          <w:color w:val="1B3A4B"/>
        </w:rPr>
        <w:t>4. The crow</w:t>
      </w:r>
    </w:p>
    <w:p>
      <w:pPr>
        <w:spacing w:after="160"/>
      </w:pPr>
      <w:r>
        <w:rPr>
          <w:rFonts w:ascii="Calibri" w:hAnsi="Calibri" w:eastAsia="Calibri"/>
          <w:b w:val="0"/>
          <w:i w:val="0"/>
          <w:color w:val="222222"/>
          <w:sz w:val="22"/>
        </w:rPr>
        <w:t>Not in Genesis. Tafsir often stages two crows fighting, one burying the other. Level 1 is one crow scratching to show how to hide the sawʾa. Sawʾa is nakedness / corpse-shame — the same root as the pair’s covering in 7:20–22 / 20:121. The first funeral is taught by a bird. Extra-biblical burial-bird motifs exist in later Jewish and Christian lore; they are not Genesis 4. Flag as EXTRA-GENESIS PARALLEL, not as “the Bible.”</w:t>
      </w:r>
    </w:p>
    <w:p>
      <w:pPr>
        <w:pStyle w:val="Heading1"/>
      </w:pPr>
      <w:r>
        <w:rPr>
          <w:rFonts w:ascii="Calibri" w:hAnsi="Calibri"/>
          <w:color w:val="1B3A4B"/>
        </w:rPr>
        <w:t>5. 5:32 and Mishnah Sanhedrin 4:5</w:t>
      </w:r>
    </w:p>
    <w:p>
      <w:pPr>
        <w:spacing w:after="160"/>
      </w:pPr>
      <w:r>
        <w:rPr>
          <w:rFonts w:ascii="Calibri" w:hAnsi="Calibri" w:eastAsia="Calibri"/>
          <w:b w:val="0"/>
          <w:i w:val="0"/>
          <w:color w:val="222222"/>
          <w:sz w:val="22"/>
        </w:rPr>
        <w:t>“Because of that We wrote upon the Children of Israel: whoever kills a soul not for a soul or for fasād in the land — it is as if he killed the people altogether; whoever gives it life, as if he gave life to the people altogether.”</w:t>
      </w:r>
    </w:p>
    <w:p>
      <w:pPr>
        <w:spacing w:after="160"/>
      </w:pPr>
      <w:r>
        <w:rPr>
          <w:rFonts w:ascii="Calibri" w:hAnsi="Calibri" w:eastAsia="Calibri"/>
          <w:b w:val="0"/>
          <w:i w:val="0"/>
          <w:color w:val="222222"/>
          <w:sz w:val="22"/>
        </w:rPr>
        <w:t>Mishnah Sanhedrin 4:5 (in the capital-case witness-warning): Adam was created alone to teach that whoever destroys a single soul [from Israel, in some witnesses] is reckoned as if he destroyed a whole world; whoever preserves a single soul, as if he preserved a whole world. The midrash also reads Abel’s “bloods” (plural) as his blood and the blood of his would-be descendants.</w:t>
      </w:r>
    </w:p>
    <w:p>
      <w:pPr>
        <w:spacing w:after="160"/>
      </w:pPr>
      <w:r>
        <w:rPr>
          <w:rFonts w:ascii="Calibri" w:hAnsi="Calibri" w:eastAsia="Calibri"/>
          <w:b w:val="0"/>
          <w:i w:val="0"/>
          <w:color w:val="222222"/>
          <w:sz w:val="22"/>
        </w:rPr>
        <w:t>QB-0114 PARTIAL AGREEMENT / POSSIBLE RELATIONSHIP: same one-soul / whole-world equation, attached in both files to the first killing. The Quran says God wrote it on Israel; the Mishnah says the court tells witnesses that this is what Scripture teaches from Adam’s solitude. Do not flatten that into “the Quran copied the Mishnah” or “the Mishnah copied the Quran.” Dates, oral vs written, and the “from Israel” qualifier in some mishnah witnesses are live scholarly arguments. Level 1 for this project: the Quran attributes the sentence to a writing upon Israel that follows from this killing, and names two exceptions (a soul for a soul; fasād in the land).</w:t>
      </w:r>
    </w:p>
    <w:p>
      <w:pPr>
        <w:spacing w:after="160"/>
      </w:pPr>
      <w:r>
        <w:rPr>
          <w:rFonts w:ascii="Calibri" w:hAnsi="Calibri" w:eastAsia="Calibri"/>
          <w:b w:val="0"/>
          <w:i w:val="0"/>
          <w:color w:val="222222"/>
          <w:sz w:val="22"/>
        </w:rPr>
        <w:t>Those two exceptions matter. 5:33 (ḥirāba) will use fasād fī l-arḍ immediately. The one-soul equation is not a pacifist absolute inside this surah.</w:t>
      </w:r>
    </w:p>
    <w:p>
      <w:pPr>
        <w:pStyle w:val="Heading1"/>
      </w:pPr>
      <w:r>
        <w:rPr>
          <w:rFonts w:ascii="Calibri" w:hAnsi="Calibri"/>
          <w:color w:val="1B3A4B"/>
        </w:rPr>
        <w:t>6. Moral architecture</w:t>
      </w:r>
    </w:p>
    <w:p>
      <w:pPr>
        <w:spacing w:after="160"/>
      </w:pPr>
      <w:r>
        <w:rPr>
          <w:rFonts w:ascii="Calibri" w:hAnsi="Calibri" w:eastAsia="Calibri"/>
          <w:b w:val="0"/>
          <w:i w:val="0"/>
          <w:color w:val="222222"/>
          <w:sz w:val="22"/>
        </w:rPr>
        <w:t>The accepted brother refuses to return the stretch of the hand. He wants the killer to carry both sins. That is not Genesis. It is closer to a martyr-refusal than to a duel. The killer is prompted by his nafs, becomes a loser, then a regretter — regret after the crow, not after God’s “where is your brother.”</w:t>
      </w:r>
    </w:p>
    <w:p>
      <w:pPr>
        <w:spacing w:after="160"/>
      </w:pPr>
      <w:r>
        <w:rPr>
          <w:rFonts w:ascii="Calibri" w:hAnsi="Calibri" w:eastAsia="Calibri"/>
          <w:b w:val="0"/>
          <w:i w:val="0"/>
          <w:color w:val="222222"/>
          <w:sz w:val="22"/>
        </w:rPr>
        <w:t>Genesis’s God is interrogative and then protective (the mark). The Quran’s God is pedagogical after the fact (the crow) and legislative after the fact (the writing on Israel). Two different divine roles in the sequel.</w:t>
      </w:r>
    </w:p>
    <w:p>
      <w:pPr>
        <w:pStyle w:val="Heading1"/>
      </w:pPr>
      <w:r>
        <w:rPr>
          <w:rFonts w:ascii="Calibri" w:hAnsi="Calibri"/>
          <w:color w:val="1B3A4B"/>
        </w:rPr>
        <w:t>7.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QDISC-0196</w:t>
            </w:r>
          </w:p>
        </w:tc>
        <w:tc>
          <w:tcPr>
            <w:tcW w:type="dxa" w:w="4896"/>
          </w:tcPr>
          <w:p>
            <w:r/>
            <w:r>
              <w:rPr>
                <w:rFonts w:ascii="Calibri" w:hAnsi="Calibri" w:eastAsia="Calibri"/>
                <w:b w:val="0"/>
                <w:i w:val="0"/>
                <w:color w:val="222222"/>
                <w:sz w:val="18"/>
              </w:rPr>
              <w:t>Two sons of Adam; qurban accepted from one; God accepts only from the muttaqin</w:t>
            </w:r>
          </w:p>
        </w:tc>
      </w:tr>
      <w:tr>
        <w:tc>
          <w:tcPr>
            <w:tcW w:type="dxa" w:w="4896"/>
            <w:shd w:fill="F4F1EA" w:val="clear"/>
          </w:tcPr>
          <w:p>
            <w:r/>
            <w:r>
              <w:rPr>
                <w:rFonts w:ascii="Calibri" w:hAnsi="Calibri" w:eastAsia="Calibri"/>
                <w:b w:val="0"/>
                <w:i w:val="0"/>
                <w:color w:val="222222"/>
                <w:sz w:val="18"/>
              </w:rPr>
              <w:t>QDISC-0197</w:t>
            </w:r>
          </w:p>
        </w:tc>
        <w:tc>
          <w:tcPr>
            <w:tcW w:type="dxa" w:w="4896"/>
            <w:shd w:fill="F4F1EA" w:val="clear"/>
          </w:tcPr>
          <w:p>
            <w:r/>
            <w:r>
              <w:rPr>
                <w:rFonts w:ascii="Calibri" w:hAnsi="Calibri" w:eastAsia="Calibri"/>
                <w:b w:val="0"/>
                <w:i w:val="0"/>
                <w:color w:val="222222"/>
                <w:sz w:val="18"/>
              </w:rPr>
              <w:t>Victim will not stretch his hand; nafs prompts the killing; crow teaches burial; regret</w:t>
            </w:r>
          </w:p>
        </w:tc>
      </w:tr>
      <w:tr>
        <w:tc>
          <w:tcPr>
            <w:tcW w:type="dxa" w:w="4896"/>
          </w:tcPr>
          <w:p>
            <w:r/>
            <w:r>
              <w:rPr>
                <w:rFonts w:ascii="Calibri" w:hAnsi="Calibri" w:eastAsia="Calibri"/>
                <w:b w:val="0"/>
                <w:i w:val="0"/>
                <w:color w:val="222222"/>
                <w:sz w:val="18"/>
              </w:rPr>
              <w:t>QDISC-0198</w:t>
            </w:r>
          </w:p>
        </w:tc>
        <w:tc>
          <w:tcPr>
            <w:tcW w:type="dxa" w:w="4896"/>
          </w:tcPr>
          <w:p>
            <w:r/>
            <w:r>
              <w:rPr>
                <w:rFonts w:ascii="Calibri" w:hAnsi="Calibri" w:eastAsia="Calibri"/>
                <w:b w:val="0"/>
                <w:i w:val="0"/>
                <w:color w:val="222222"/>
                <w:sz w:val="18"/>
              </w:rPr>
              <w:t>Written on Israel: killing one soul like all; saving one like all; except a soul or fasad</w:t>
            </w:r>
          </w:p>
        </w:tc>
      </w:tr>
      <w:tr>
        <w:tc>
          <w:tcPr>
            <w:tcW w:type="dxa" w:w="4896"/>
            <w:shd w:fill="F4F1EA" w:val="clear"/>
          </w:tcPr>
          <w:p>
            <w:r/>
            <w:r>
              <w:rPr>
                <w:rFonts w:ascii="Calibri" w:hAnsi="Calibri" w:eastAsia="Calibri"/>
                <w:b w:val="0"/>
                <w:i w:val="0"/>
                <w:color w:val="222222"/>
                <w:sz w:val="18"/>
              </w:rPr>
              <w:t>QB-0112</w:t>
            </w:r>
          </w:p>
        </w:tc>
        <w:tc>
          <w:tcPr>
            <w:tcW w:type="dxa" w:w="4896"/>
            <w:shd w:fill="F4F1EA" w:val="clear"/>
          </w:tcPr>
          <w:p>
            <w:r/>
            <w:r>
              <w:rPr>
                <w:rFonts w:ascii="Calibri" w:hAnsi="Calibri" w:eastAsia="Calibri"/>
                <w:b w:val="0"/>
                <w:i w:val="0"/>
                <w:color w:val="222222"/>
                <w:sz w:val="18"/>
              </w:rPr>
              <w:t>Plot-spine agreement with Gen 4</w:t>
            </w:r>
          </w:p>
        </w:tc>
      </w:tr>
      <w:tr>
        <w:tc>
          <w:tcPr>
            <w:tcW w:type="dxa" w:w="4896"/>
          </w:tcPr>
          <w:p>
            <w:r/>
            <w:r>
              <w:rPr>
                <w:rFonts w:ascii="Calibri" w:hAnsi="Calibri" w:eastAsia="Calibri"/>
                <w:b w:val="0"/>
                <w:i w:val="0"/>
                <w:color w:val="222222"/>
                <w:sz w:val="18"/>
              </w:rPr>
              <w:t>QB-0113</w:t>
            </w:r>
          </w:p>
        </w:tc>
        <w:tc>
          <w:tcPr>
            <w:tcW w:type="dxa" w:w="4896"/>
          </w:tcPr>
          <w:p>
            <w:r/>
            <w:r>
              <w:rPr>
                <w:rFonts w:ascii="Calibri" w:hAnsi="Calibri" w:eastAsia="Calibri"/>
                <w:b w:val="0"/>
                <w:i w:val="0"/>
                <w:color w:val="222222"/>
                <w:sz w:val="18"/>
              </w:rPr>
              <w:t>Speech and aftermath contrast with Gen 4</w:t>
            </w:r>
          </w:p>
        </w:tc>
      </w:tr>
      <w:tr>
        <w:tc>
          <w:tcPr>
            <w:tcW w:type="dxa" w:w="4896"/>
            <w:shd w:fill="F4F1EA" w:val="clear"/>
          </w:tcPr>
          <w:p>
            <w:r/>
            <w:r>
              <w:rPr>
                <w:rFonts w:ascii="Calibri" w:hAnsi="Calibri" w:eastAsia="Calibri"/>
                <w:b w:val="0"/>
                <w:i w:val="0"/>
                <w:color w:val="222222"/>
                <w:sz w:val="18"/>
              </w:rPr>
              <w:t>QB-0114</w:t>
            </w:r>
          </w:p>
        </w:tc>
        <w:tc>
          <w:tcPr>
            <w:tcW w:type="dxa" w:w="4896"/>
            <w:shd w:fill="F4F1EA" w:val="clear"/>
          </w:tcPr>
          <w:p>
            <w:r/>
            <w:r>
              <w:rPr>
                <w:rFonts w:ascii="Calibri" w:hAnsi="Calibri" w:eastAsia="Calibri"/>
                <w:b w:val="0"/>
                <w:i w:val="0"/>
                <w:color w:val="222222"/>
                <w:sz w:val="18"/>
              </w:rPr>
              <w:t>5:32 and Mishnah Sanhedrin 4:5 one-soul equation</w:t>
            </w:r>
          </w:p>
        </w:tc>
      </w:tr>
      <w:tr>
        <w:tc>
          <w:tcPr>
            <w:tcW w:type="dxa" w:w="4896"/>
          </w:tcPr>
          <w:p>
            <w:r/>
            <w:r>
              <w:rPr>
                <w:rFonts w:ascii="Calibri" w:hAnsi="Calibri" w:eastAsia="Calibri"/>
                <w:b w:val="0"/>
                <w:i w:val="0"/>
                <w:color w:val="222222"/>
                <w:sz w:val="18"/>
              </w:rPr>
              <w:t>QB-0115</w:t>
            </w:r>
          </w:p>
        </w:tc>
        <w:tc>
          <w:tcPr>
            <w:tcW w:type="dxa" w:w="4896"/>
          </w:tcPr>
          <w:p>
            <w:r/>
            <w:r>
              <w:rPr>
                <w:rFonts w:ascii="Calibri" w:hAnsi="Calibri" w:eastAsia="Calibri"/>
                <w:b w:val="0"/>
                <w:i w:val="0"/>
                <w:color w:val="222222"/>
                <w:sz w:val="18"/>
              </w:rPr>
              <w:t>Crow burial-lesson not in Genesis</w:t>
            </w:r>
          </w:p>
        </w:tc>
      </w:tr>
    </w:tbl>
    <w:p/>
    <w:p>
      <w:pPr>
        <w:spacing w:after="160"/>
      </w:pPr>
      <w:r>
        <w:rPr>
          <w:rFonts w:ascii="Calibri" w:hAnsi="Calibri" w:eastAsia="Calibri"/>
          <w:b w:val="0"/>
          <w:i w:val="0"/>
          <w:color w:val="222222"/>
          <w:sz w:val="22"/>
        </w:rPr>
        <w:t>Canonical next in al-Māʾida is still 5:33 ḥirāba, which leans on 5:32’s fasād exception. This exam does not replace S005 CP03; it fronts the comparison the user asked for.</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narrative exam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Exam — Cain and Abel 5:27–32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 Cain and Abel 5:27–32</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