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color w:val="1B3A4B"/>
        </w:rPr>
        <w:t>INVESTIGATION — 7:157 AND THE PROPOSED BIBLICAL LOCI</w:t>
      </w:r>
    </w:p>
    <w:p>
      <w:pPr>
        <w:spacing w:after="40"/>
      </w:pPr>
      <w:r>
        <w:rPr>
          <w:rFonts w:ascii="Calibri" w:hAnsi="Calibri" w:eastAsia="Calibri"/>
          <w:b/>
          <w:i w:val="0"/>
          <w:color w:val="1B3A4B"/>
          <w:sz w:val="22"/>
        </w:rPr>
        <w:t xml:space="preserve">Quran claim: </w:t>
      </w:r>
      <w:r>
        <w:rPr>
          <w:rFonts w:ascii="Calibri" w:hAnsi="Calibri" w:eastAsia="Calibri"/>
          <w:b w:val="0"/>
          <w:i w:val="0"/>
          <w:color w:val="222222"/>
          <w:sz w:val="22"/>
        </w:rPr>
        <w:t>7:157 — the ummi prophet whom they find written with them in the Torah and the Gospel</w:t>
      </w:r>
    </w:p>
    <w:p>
      <w:pPr>
        <w:spacing w:after="40"/>
      </w:pPr>
      <w:r>
        <w:rPr>
          <w:rFonts w:ascii="Calibri" w:hAnsi="Calibri" w:eastAsia="Calibri"/>
          <w:b/>
          <w:i w:val="0"/>
          <w:color w:val="1B3A4B"/>
          <w:sz w:val="22"/>
        </w:rPr>
        <w:t xml:space="preserve">Also parked: </w:t>
      </w:r>
      <w:r>
        <w:rPr>
          <w:rFonts w:ascii="Calibri" w:hAnsi="Calibri" w:eastAsia="Calibri"/>
          <w:b w:val="0"/>
          <w:i w:val="0"/>
          <w:color w:val="222222"/>
          <w:sz w:val="22"/>
        </w:rPr>
        <w:t>61:6 Ahmad; 3:81; 2:89, 146; 5:15</w:t>
      </w:r>
    </w:p>
    <w:p>
      <w:pPr>
        <w:spacing w:after="40"/>
      </w:pPr>
      <w:r>
        <w:rPr>
          <w:rFonts w:ascii="Calibri" w:hAnsi="Calibri" w:eastAsia="Calibri"/>
          <w:b/>
          <w:i w:val="0"/>
          <w:color w:val="1B3A4B"/>
          <w:sz w:val="22"/>
        </w:rPr>
        <w:t xml:space="preserve">IDs: </w:t>
      </w:r>
      <w:r>
        <w:rPr>
          <w:rFonts w:ascii="Calibri" w:hAnsi="Calibri" w:eastAsia="Calibri"/>
          <w:b w:val="0"/>
          <w:i w:val="0"/>
          <w:color w:val="222222"/>
          <w:sz w:val="22"/>
        </w:rPr>
        <w:t>QDISC-0358–0365; QB-0204–0212</w:t>
      </w:r>
    </w:p>
    <w:p>
      <w:pPr>
        <w:spacing w:after="40"/>
      </w:pPr>
      <w:r>
        <w:rPr>
          <w:rFonts w:ascii="Calibri" w:hAnsi="Calibri" w:eastAsia="Calibri"/>
          <w:b/>
          <w:i w:val="0"/>
          <w:color w:val="1B3A4B"/>
          <w:sz w:val="22"/>
        </w:rPr>
        <w:t xml:space="preserve">Date: </w:t>
      </w:r>
      <w:r>
        <w:rPr>
          <w:rFonts w:ascii="Calibri" w:hAnsi="Calibri" w:eastAsia="Calibri"/>
          <w:b w:val="0"/>
          <w:i w:val="0"/>
          <w:color w:val="222222"/>
          <w:sz w:val="22"/>
        </w:rPr>
        <w:t>12 September 2026</w:t>
      </w:r>
    </w:p>
    <w:p>
      <w:pPr>
        <w:spacing w:after="160"/>
      </w:pPr>
      <w:r>
        <w:rPr>
          <w:rFonts w:ascii="Calibri" w:hAnsi="Calibri" w:eastAsia="Calibri"/>
          <w:b w:val="0"/>
          <w:i w:val="0"/>
          <w:color w:val="222222"/>
          <w:sz w:val="22"/>
        </w:rPr>
        <w:t>7:157 does not quote a verse. It asserts a finding in the books the addressees already have. That sets the test: a pre-Islamic wording, in Torah or Gospel as those communities read them, that those communities themselves treated as naming or describing this messenger. A reading invented after the seventh century, or a reading that requires a lost Greek word no manuscript has, does not satisfy 'written with them.'</w:t>
      </w:r>
    </w:p>
    <w:p>
      <w:pPr>
        <w:pStyle w:val="Heading1"/>
      </w:pPr>
      <w:r>
        <w:rPr>
          <w:rFonts w:ascii="Calibri" w:hAnsi="Calibri"/>
          <w:color w:val="1B3A4B"/>
        </w:rPr>
        <w:t>1. What 7:157 actually says</w:t>
      </w:r>
    </w:p>
    <w:p>
      <w:pPr>
        <w:spacing w:after="160"/>
      </w:pPr>
      <w:r>
        <w:rPr>
          <w:rFonts w:ascii="Calibri" w:hAnsi="Calibri" w:eastAsia="Calibri"/>
          <w:b w:val="0"/>
          <w:i w:val="0"/>
          <w:color w:val="222222"/>
          <w:sz w:val="22"/>
        </w:rPr>
        <w:t>alladhīna yattabiʿūna l-rasūla l-nabiyya l-ummiyya alladhī yajidūnahu maktūban ʿindahum fī l-Tawrāti wa-l-Injīl. He commands right, forbids wrong, makes good things lawful, forbids filthy things, lifts burden and fetters.</w:t>
      </w:r>
    </w:p>
    <w:tbl>
      <w:tblPr>
        <w:tblStyle w:val="TableGrid"/>
        <w:tblW w:type="auto" w:w="0"/>
        <w:tblLook w:firstColumn="1" w:firstRow="1" w:lastColumn="0" w:lastRow="0" w:noHBand="0" w:noVBand="1" w:val="04A0"/>
      </w:tblPr>
      <w:tblGrid>
        <w:gridCol w:w="3264"/>
        <w:gridCol w:w="3264"/>
        <w:gridCol w:w="3264"/>
      </w:tblGrid>
      <w:tr>
        <w:tc>
          <w:tcPr>
            <w:tcW w:type="dxa" w:w="3264"/>
            <w:shd w:fill="1B3A4B" w:val="clear"/>
          </w:tcPr>
          <w:p>
            <w:r/>
            <w:r>
              <w:rPr>
                <w:rFonts w:ascii="Calibri" w:hAnsi="Calibri" w:eastAsia="Calibri"/>
                <w:b/>
                <w:i w:val="0"/>
                <w:color w:val="FFFFFF"/>
                <w:sz w:val="18"/>
              </w:rPr>
              <w:t>Locus</w:t>
            </w:r>
          </w:p>
        </w:tc>
        <w:tc>
          <w:tcPr>
            <w:tcW w:type="dxa" w:w="3264"/>
            <w:shd w:fill="1B3A4B" w:val="clear"/>
          </w:tcPr>
          <w:p>
            <w:r/>
            <w:r>
              <w:rPr>
                <w:rFonts w:ascii="Calibri" w:hAnsi="Calibri" w:eastAsia="Calibri"/>
                <w:b/>
                <w:i w:val="0"/>
                <w:color w:val="FFFFFF"/>
                <w:sz w:val="18"/>
              </w:rPr>
              <w:t>Core five</w:t>
            </w:r>
          </w:p>
        </w:tc>
        <w:tc>
          <w:tcPr>
            <w:tcW w:type="dxa" w:w="3264"/>
            <w:shd w:fill="1B3A4B" w:val="clear"/>
          </w:tcPr>
          <w:p>
            <w:r/>
            <w:r>
              <w:rPr>
                <w:rFonts w:ascii="Calibri" w:hAnsi="Calibri" w:eastAsia="Calibri"/>
                <w:b/>
                <w:i w:val="0"/>
                <w:color w:val="FFFFFF"/>
                <w:sz w:val="18"/>
              </w:rPr>
              <w:t>Return to Arabic</w:t>
            </w:r>
          </w:p>
        </w:tc>
      </w:tr>
      <w:tr>
        <w:tc>
          <w:tcPr>
            <w:tcW w:type="dxa" w:w="3264"/>
          </w:tcPr>
          <w:p>
            <w:r/>
            <w:r>
              <w:rPr>
                <w:rFonts w:ascii="Calibri" w:hAnsi="Calibri" w:eastAsia="Calibri"/>
                <w:b w:val="0"/>
                <w:i w:val="0"/>
                <w:color w:val="222222"/>
                <w:sz w:val="18"/>
              </w:rPr>
              <w:t>nabiyya l-ummiyya</w:t>
            </w:r>
          </w:p>
        </w:tc>
        <w:tc>
          <w:tcPr>
            <w:tcW w:type="dxa" w:w="3264"/>
          </w:tcPr>
          <w:p>
            <w:r/>
            <w:r>
              <w:rPr>
                <w:rFonts w:ascii="Calibri" w:hAnsi="Calibri" w:eastAsia="Calibri"/>
                <w:b w:val="0"/>
                <w:i w:val="0"/>
                <w:color w:val="222222"/>
                <w:sz w:val="18"/>
              </w:rPr>
              <w:t>SI / Haleem: unlettered prophet. Pickthall: Prophet who can neither read nor write. Arberry: Prophet of the common folk.</w:t>
            </w:r>
          </w:p>
        </w:tc>
        <w:tc>
          <w:tcPr>
            <w:tcW w:type="dxa" w:w="3264"/>
          </w:tcPr>
          <w:p>
            <w:r/>
            <w:r>
              <w:rPr>
                <w:rFonts w:ascii="Calibri" w:hAnsi="Calibri" w:eastAsia="Calibri"/>
                <w:b w:val="0"/>
                <w:i w:val="0"/>
                <w:color w:val="222222"/>
                <w:sz w:val="18"/>
              </w:rPr>
              <w:t>ummi is not settled by one English. The finding-clause does not depend on which gloss of ummi is chosen.</w:t>
            </w:r>
          </w:p>
        </w:tc>
      </w:tr>
      <w:tr>
        <w:tc>
          <w:tcPr>
            <w:tcW w:type="dxa" w:w="3264"/>
            <w:shd w:fill="F4F1EA" w:val="clear"/>
          </w:tcPr>
          <w:p>
            <w:r/>
            <w:r>
              <w:rPr>
                <w:rFonts w:ascii="Calibri" w:hAnsi="Calibri" w:eastAsia="Calibri"/>
                <w:b w:val="0"/>
                <w:i w:val="0"/>
                <w:color w:val="222222"/>
                <w:sz w:val="18"/>
              </w:rPr>
              <w:t>yajidunahu maktuban 'indahum</w:t>
            </w:r>
          </w:p>
        </w:tc>
        <w:tc>
          <w:tcPr>
            <w:tcW w:type="dxa" w:w="3264"/>
            <w:shd w:fill="F4F1EA" w:val="clear"/>
          </w:tcPr>
          <w:p>
            <w:r/>
            <w:r>
              <w:rPr>
                <w:rFonts w:ascii="Calibri" w:hAnsi="Calibri" w:eastAsia="Calibri"/>
                <w:b w:val="0"/>
                <w:i w:val="0"/>
                <w:color w:val="222222"/>
                <w:sz w:val="18"/>
              </w:rPr>
              <w:t>SI: they find written with them. Haleem: they will find described in. Pickthall: whom they will find described. Arberry: whom they find written down with them.</w:t>
            </w:r>
          </w:p>
        </w:tc>
        <w:tc>
          <w:tcPr>
            <w:tcW w:type="dxa" w:w="3264"/>
            <w:shd w:fill="F4F1EA" w:val="clear"/>
          </w:tcPr>
          <w:p>
            <w:r/>
            <w:r>
              <w:rPr>
                <w:rFonts w:ascii="Calibri" w:hAnsi="Calibri" w:eastAsia="Calibri"/>
                <w:b w:val="0"/>
                <w:i w:val="0"/>
                <w:color w:val="222222"/>
                <w:sz w:val="18"/>
              </w:rPr>
              <w:t>yajiduna is imperfect: they find / will find. maktuban = written. 'indahum = with them / in their possession. Haleem/Pickthall's 'described' softens written.</w:t>
            </w:r>
          </w:p>
        </w:tc>
      </w:tr>
    </w:tbl>
    <w:p/>
    <w:p>
      <w:pPr>
        <w:spacing w:after="160"/>
      </w:pPr>
      <w:r>
        <w:rPr>
          <w:rFonts w:ascii="Calibri" w:hAnsi="Calibri" w:eastAsia="Calibri"/>
          <w:b w:val="0"/>
          <w:i w:val="0"/>
          <w:color w:val="222222"/>
          <w:sz w:val="22"/>
        </w:rPr>
        <w:t>The verse names two corpora: Tawrāt and Injīl. Proposed loci that are neither (Song of Songs; a reconstructed Greek) have a higher burden.</w:t>
      </w:r>
    </w:p>
    <w:p>
      <w:pPr>
        <w:pStyle w:val="Heading1"/>
      </w:pPr>
      <w:r>
        <w:rPr>
          <w:rFonts w:ascii="Calibri" w:hAnsi="Calibri"/>
          <w:color w:val="1B3A4B"/>
        </w:rPr>
        <w:t>2. Deuteronomy 18:15–18</w:t>
      </w:r>
    </w:p>
    <w:p>
      <w:pPr>
        <w:spacing w:after="160"/>
      </w:pPr>
      <w:r>
        <w:rPr>
          <w:rFonts w:ascii="Calibri" w:hAnsi="Calibri" w:eastAsia="Calibri"/>
          <w:b w:val="0"/>
          <w:i w:val="0"/>
          <w:color w:val="222222"/>
          <w:sz w:val="22"/>
        </w:rPr>
        <w:t>Hebrew: nabiʾ miqqirbekha meʾaḥekha kamoni — a prophet from your midst, from your brothers, like me. YHWH will put My words in his mouth. Whoever does not listen, I will require it. Context of 18:9–22: do not learn the abominations of the nations (diviners, necromancers); YHWH will raise a prophet instead. The false prophet who speaks presumptuously shall die. Brothers in Deuteronomy’s legal diction are fellow Israelites (15:7, 17:15 a king from your brothers — not a foreigner).</w:t>
      </w:r>
    </w:p>
    <w:p>
      <w:pPr>
        <w:spacing w:after="160"/>
      </w:pPr>
      <w:r>
        <w:rPr>
          <w:rFonts w:ascii="Calibri" w:hAnsi="Calibri" w:eastAsia="Calibri"/>
          <w:b w:val="0"/>
          <w:i w:val="0"/>
          <w:color w:val="222222"/>
          <w:sz w:val="22"/>
        </w:rPr>
        <w:t>Manuscripts: MT; Samaritan Pentateuch (same brothers-clause); 4QDeut fragments; quoted at Qumran in 4Q175 Testimonia (early 1st c. BCE) as Deut 18:18–19 plus Deut 5:28–29.</w:t>
      </w:r>
    </w:p>
    <w:p>
      <w:pPr>
        <w:spacing w:after="160"/>
      </w:pPr>
      <w:r>
        <w:rPr>
          <w:rFonts w:ascii="Calibri" w:hAnsi="Calibri" w:eastAsia="Calibri"/>
          <w:b w:val="0"/>
          <w:i w:val="0"/>
          <w:color w:val="222222"/>
          <w:sz w:val="22"/>
        </w:rPr>
        <w:t>Pre-Islamic Jewish: Qumran 1QS 9:11 awaits 'a prophet and the messiahs of Aaron and Israel' — three figures, the prophet distinct from the two messiahs. 4Q175 lines the prophet-like-Moses with a royal star-from-Jacob and a priestly Levi-blessing. The prophet is Israelite and eschatological. Philo treats Mosaic prophetic authority, not an Ishmaelite. Samaritans awaited a restorer (Taheb) from their own line. No pre-Islamic Jewish text identifies Deut 18 with an Arabian from Ishmael.</w:t>
      </w:r>
    </w:p>
    <w:p>
      <w:pPr>
        <w:spacing w:after="160"/>
      </w:pPr>
      <w:r>
        <w:rPr>
          <w:rFonts w:ascii="Calibri" w:hAnsi="Calibri" w:eastAsia="Calibri"/>
          <w:b w:val="0"/>
          <w:i w:val="0"/>
          <w:color w:val="222222"/>
          <w:sz w:val="22"/>
        </w:rPr>
        <w:t>Pre-Islamic Christian: John 1:21, 6:14, 7:40 show the question 'are you the prophet?' as live. Acts 3:22–23 and 7:37 apply Deut 18 to Jesus. That is a first-century Christian claim, already on the page before Islam.</w:t>
      </w:r>
    </w:p>
    <w:p>
      <w:pPr>
        <w:spacing w:after="160"/>
      </w:pPr>
      <w:r>
        <w:rPr>
          <w:rFonts w:ascii="Calibri" w:hAnsi="Calibri" w:eastAsia="Calibri"/>
          <w:b w:val="0"/>
          <w:i w:val="0"/>
          <w:color w:val="222222"/>
          <w:sz w:val="22"/>
        </w:rPr>
        <w:t>The 'brothers = Ishmaelites' move uses Genesis 16/25 kinship against Deuteronomy’s legal 'from your midst.' It is post-Quranic apologetic, not a reading attested in the communities who held the Torah 'with them.'</w:t>
      </w:r>
    </w:p>
    <w:p>
      <w:pPr>
        <w:spacing w:after="160"/>
      </w:pPr>
      <w:r>
        <w:rPr>
          <w:rFonts w:ascii="Calibri" w:hAnsi="Calibri" w:eastAsia="Calibri"/>
          <w:b w:val="0"/>
          <w:i w:val="0"/>
          <w:color w:val="222222"/>
          <w:sz w:val="22"/>
        </w:rPr>
        <w:t>QB-0204 POSSIBLE RELATIONSHIP of office (a future authorized speaker of God’s words). CONTRAST of ethnicity-in-context and of pre-Islamic identification. Not a named finding of Muhammad.</w:t>
      </w:r>
    </w:p>
    <w:p>
      <w:pPr>
        <w:pStyle w:val="Heading1"/>
      </w:pPr>
      <w:r>
        <w:rPr>
          <w:rFonts w:ascii="Calibri" w:hAnsi="Calibri"/>
          <w:color w:val="1B3A4B"/>
        </w:rPr>
        <w:t>3. Deuteronomy 33:2</w:t>
      </w:r>
    </w:p>
    <w:p>
      <w:pPr>
        <w:spacing w:after="160"/>
      </w:pPr>
      <w:r>
        <w:rPr>
          <w:rFonts w:ascii="Calibri" w:hAnsi="Calibri" w:eastAsia="Calibri"/>
          <w:b w:val="0"/>
          <w:i w:val="0"/>
          <w:color w:val="222222"/>
          <w:sz w:val="22"/>
        </w:rPr>
        <w:t>YHWH came from Sinai, dawned from Seir, shone from Mount Paran, came with myriads of holy ones; from His right a fiery law. Genre: theophany-march from the southern mountains, parallel to Hab 3:3 (Teman / Paran) and Judg 5:4–5 (Seir / Edom). Subject of the verbs is YHWH, not three successive prophets.</w:t>
      </w:r>
    </w:p>
    <w:p>
      <w:pPr>
        <w:spacing w:after="160"/>
      </w:pPr>
      <w:r>
        <w:rPr>
          <w:rFonts w:ascii="Calibri" w:hAnsi="Calibri" w:eastAsia="Calibri"/>
          <w:b w:val="0"/>
          <w:i w:val="0"/>
          <w:color w:val="222222"/>
          <w:sz w:val="22"/>
        </w:rPr>
        <w:t>Paran in the Torah is the wilderness south of Canaan / north Sinai (Gen 21:21 Ishmael dwelt in the wilderness of Paran; Num 10:12; 13:3). That is not Mecca. Mapping Paran to Mecca is a later geographic claim.</w:t>
      </w:r>
    </w:p>
    <w:p>
      <w:pPr>
        <w:spacing w:after="160"/>
      </w:pPr>
      <w:r>
        <w:rPr>
          <w:rFonts w:ascii="Calibri" w:hAnsi="Calibri" w:eastAsia="Calibri"/>
          <w:b w:val="0"/>
          <w:i w:val="0"/>
          <w:color w:val="222222"/>
          <w:sz w:val="22"/>
        </w:rPr>
        <w:t>Pre-Islamic / early rabbinic: Sifre Deut and the tradition Rashi records read Seir as Esau and Paran as Ishmael — God offered the Torah to those nations, they refused, Israel accepted at Sinai. That midrash makes Paran the site of a refusal, not the advent of a future prophet from Ishmael.</w:t>
      </w:r>
    </w:p>
    <w:p>
      <w:pPr>
        <w:spacing w:after="160"/>
      </w:pPr>
      <w:r>
        <w:rPr>
          <w:rFonts w:ascii="Calibri" w:hAnsi="Calibri" w:eastAsia="Calibri"/>
          <w:b w:val="0"/>
          <w:i w:val="0"/>
          <w:color w:val="222222"/>
          <w:sz w:val="22"/>
        </w:rPr>
        <w:t>QB-0205 CONTRAST. The verse is a YHWH-theophany. Pre-Islamic Jewish reading available to us either keeps it as a mountain-march or as nations refusing the Torah. Neither writes Muhammad.</w:t>
      </w:r>
    </w:p>
    <w:p>
      <w:pPr>
        <w:pStyle w:val="Heading1"/>
      </w:pPr>
      <w:r>
        <w:rPr>
          <w:rFonts w:ascii="Calibri" w:hAnsi="Calibri"/>
          <w:color w:val="1B3A4B"/>
        </w:rPr>
        <w:t>4. Isaiah 42</w:t>
      </w:r>
    </w:p>
    <w:p>
      <w:pPr>
        <w:spacing w:after="160"/>
      </w:pPr>
      <w:r>
        <w:rPr>
          <w:rFonts w:ascii="Calibri" w:hAnsi="Calibri" w:eastAsia="Calibri"/>
          <w:b w:val="0"/>
          <w:i w:val="0"/>
          <w:color w:val="222222"/>
          <w:sz w:val="22"/>
        </w:rPr>
        <w:t>42:1–4 servant whom I uphold, my chosen; he will bring mishpat to the nations; a bruised reed he will not break. 42:11 let the wilderness and its cities lift up, the villages Kedar inhabits; let the inhabitants of Sela sing. Kedar is Ishmael’s second son as a tribe-name (Gen 25:13) and a known north-Arabian people in Assyrian lists. Sela is Edomite rock / Petra-region, not Medina by any pre-Islamic geography required by the verse.</w:t>
      </w:r>
    </w:p>
    <w:p>
      <w:pPr>
        <w:spacing w:after="160"/>
      </w:pPr>
      <w:r>
        <w:rPr>
          <w:rFonts w:ascii="Calibri" w:hAnsi="Calibri" w:eastAsia="Calibri"/>
          <w:b w:val="0"/>
          <w:i w:val="0"/>
          <w:color w:val="222222"/>
          <w:sz w:val="22"/>
        </w:rPr>
        <w:t>Manuscripts: 1QIsa-a (Great Isaiah Scroll, 2nd–1st c. BCE) has the servant song and Kedar/Sela in the praise stanza. The wording is not a late Christian rewrite.</w:t>
      </w:r>
    </w:p>
    <w:p>
      <w:pPr>
        <w:spacing w:after="160"/>
      </w:pPr>
      <w:r>
        <w:rPr>
          <w:rFonts w:ascii="Calibri" w:hAnsi="Calibri" w:eastAsia="Calibri"/>
          <w:b w:val="0"/>
          <w:i w:val="0"/>
          <w:color w:val="222222"/>
          <w:sz w:val="22"/>
        </w:rPr>
        <w:t>Pre-Islamic Jewish: the servant in Isa 41–48 is often Israel ('you are my servant, Israel' 41:8; 44:1). The isolated servant songs can be read as an individual. They were not, before Islam, read as an Arabian prophet whose sign is Kedar.</w:t>
      </w:r>
    </w:p>
    <w:p>
      <w:pPr>
        <w:spacing w:after="160"/>
      </w:pPr>
      <w:r>
        <w:rPr>
          <w:rFonts w:ascii="Calibri" w:hAnsi="Calibri" w:eastAsia="Calibri"/>
          <w:b w:val="0"/>
          <w:i w:val="0"/>
          <w:color w:val="222222"/>
          <w:sz w:val="22"/>
        </w:rPr>
        <w:t>Pre-Islamic Christian: Matthew 12:18–21 quotes Isa 42:1–4 of Jesus. That application is first-century.</w:t>
      </w:r>
    </w:p>
    <w:p>
      <w:pPr>
        <w:spacing w:after="160"/>
      </w:pPr>
      <w:r>
        <w:rPr>
          <w:rFonts w:ascii="Calibri" w:hAnsi="Calibri" w:eastAsia="Calibri"/>
          <w:b w:val="0"/>
          <w:i w:val="0"/>
          <w:color w:val="222222"/>
          <w:sz w:val="22"/>
        </w:rPr>
        <w:t>Kedar in v.11 is a Gentile pole called to praise, parallel to coastlands — the servant’s audience, not his passport.</w:t>
      </w:r>
    </w:p>
    <w:p>
      <w:pPr>
        <w:spacing w:after="160"/>
      </w:pPr>
      <w:r>
        <w:rPr>
          <w:rFonts w:ascii="Calibri" w:hAnsi="Calibri" w:eastAsia="Calibri"/>
          <w:b w:val="0"/>
          <w:i w:val="0"/>
          <w:color w:val="222222"/>
          <w:sz w:val="22"/>
        </w:rPr>
        <w:t>QB-0206 POSSIBLE RELATIONSHIP of a servant who brings justice to nations, with Kedar in the hymn of response. CONTRAST of identity: pre-Islamic readers named Israel or Jesus, not Muhammad. Kedar/Sela do not identify the servant.</w:t>
      </w:r>
    </w:p>
    <w:p>
      <w:pPr>
        <w:pStyle w:val="Heading1"/>
      </w:pPr>
      <w:r>
        <w:rPr>
          <w:rFonts w:ascii="Calibri" w:hAnsi="Calibri"/>
          <w:color w:val="1B3A4B"/>
        </w:rPr>
        <w:t>5. Song of Songs 5:16 — maḥămaddîm</w:t>
      </w:r>
    </w:p>
    <w:p>
      <w:pPr>
        <w:spacing w:after="160"/>
      </w:pPr>
      <w:r>
        <w:rPr>
          <w:rFonts w:ascii="Calibri" w:hAnsi="Calibri" w:eastAsia="Calibri"/>
          <w:b w:val="0"/>
          <w:i w:val="0"/>
          <w:color w:val="222222"/>
          <w:sz w:val="22"/>
        </w:rPr>
        <w:t>Hebrew: ḥikko mamtaqqim wekhullo maḥămaddîm. His palate is sweets; all of him is desirable-things. Root ḥ-m-d = desire / take pleasure in. maḥmad = a desirable thing (used of treasures, pleasant fields; Hos 9:16; 1 Kgs 20:6; Lam 1:10). The ending -îm is a plural of abstraction / quality ('all delight'), matching mamtaqqim in the parallel line — not a honorific personal name.</w:t>
      </w:r>
    </w:p>
    <w:p>
      <w:pPr>
        <w:spacing w:after="160"/>
      </w:pPr>
      <w:r>
        <w:rPr>
          <w:rFonts w:ascii="Calibri" w:hAnsi="Calibri" w:eastAsia="Calibri"/>
          <w:b w:val="0"/>
          <w:i w:val="0"/>
          <w:color w:val="222222"/>
          <w:sz w:val="22"/>
        </w:rPr>
        <w:t>Phonetic nearness to Muḥammad (from Arabic ḥ-m-d, praise) is real at the root-family level across sister languages. It does not make 5:16 a name. Hebrew ḥeth is not Arabic ḥāʾ identity-of-person. Reading 'he is altogether Muhammad' produces nonsense in the stanza (5:10–16 is a body-description of the woman’s beloved, addressed to the daughters of Jerusalem).</w:t>
      </w:r>
    </w:p>
    <w:p>
      <w:pPr>
        <w:spacing w:after="160"/>
      </w:pPr>
      <w:r>
        <w:rPr>
          <w:rFonts w:ascii="Calibri" w:hAnsi="Calibri" w:eastAsia="Calibri"/>
          <w:b w:val="0"/>
          <w:i w:val="0"/>
          <w:color w:val="222222"/>
          <w:sz w:val="22"/>
        </w:rPr>
        <w:t>Manuscripts: MT; the Song is at Qumran (4Q106–108). Pre-Islamic Jewish reading: love-poem and/or allegory of YHWH and Israel or of Solomon. No rabbinic source treats 5:16 as the personal name of a future gentile prophet. Song is not Torah and not Gospel.</w:t>
      </w:r>
    </w:p>
    <w:p>
      <w:pPr>
        <w:spacing w:after="160"/>
      </w:pPr>
      <w:r>
        <w:rPr>
          <w:rFonts w:ascii="Calibri" w:hAnsi="Calibri" w:eastAsia="Calibri"/>
          <w:b w:val="0"/>
          <w:i w:val="0"/>
          <w:color w:val="222222"/>
          <w:sz w:val="22"/>
        </w:rPr>
        <w:t>QB-0207 NO MATCH as a written finding of Muhammad. Shared Semitic root is not identification.</w:t>
      </w:r>
    </w:p>
    <w:p>
      <w:pPr>
        <w:pStyle w:val="Heading1"/>
      </w:pPr>
      <w:r>
        <w:rPr>
          <w:rFonts w:ascii="Calibri" w:hAnsi="Calibri"/>
          <w:color w:val="1B3A4B"/>
        </w:rPr>
        <w:t>6. John 14–16 and the Paraclete</w:t>
      </w:r>
    </w:p>
    <w:p>
      <w:pPr>
        <w:spacing w:after="160"/>
      </w:pPr>
      <w:r>
        <w:rPr>
          <w:rFonts w:ascii="Calibri" w:hAnsi="Calibri" w:eastAsia="Calibri"/>
          <w:b w:val="0"/>
          <w:i w:val="0"/>
          <w:color w:val="222222"/>
          <w:sz w:val="22"/>
        </w:rPr>
        <w:t>Greek: allon paraklēton — another paraklete (14:16). The Spirit of truth (14:17). The Father will send in my name; he will teach you all things and remind you of all that I said (14:26). He will bear witness to me (15:26). If I do not go, the paraklete will not come; if I go I will send him (16:7). He will convict the world; he will glorify me, for he will take what is mine and declare it (16:13–14).</w:t>
      </w:r>
    </w:p>
    <w:p>
      <w:pPr>
        <w:spacing w:after="160"/>
      </w:pPr>
      <w:r>
        <w:rPr>
          <w:rFonts w:ascii="Calibri" w:hAnsi="Calibri" w:eastAsia="Calibri"/>
          <w:b w:val="0"/>
          <w:i w:val="0"/>
          <w:color w:val="222222"/>
          <w:sz w:val="22"/>
        </w:rPr>
        <w:t>paraklētos in extra-biblical Greek: one called to another’s side — advocate, intercessor, helper. In 1 John 2:1 Jesus himself is a paraklete with the Father. 'Another' in 14:16 is another of that kind, identified as the Spirit.</w:t>
      </w:r>
    </w:p>
    <w:p>
      <w:pPr>
        <w:spacing w:after="160"/>
      </w:pPr>
      <w:r>
        <w:rPr>
          <w:rFonts w:ascii="Calibri" w:hAnsi="Calibri" w:eastAsia="Calibri"/>
          <w:b w:val="0"/>
          <w:i w:val="0"/>
          <w:color w:val="222222"/>
          <w:sz w:val="22"/>
        </w:rPr>
        <w:t>The periklytos ('praised one' ≈ Aḥmad) reconstruction is a modern apologetic. No Greek manuscript of John reads periklytos at these verses. P66 (Bodmer II, ca. 200) and the later uncial tradition (Sinaiticus, Vaticanus) read paraklētos. A one-letter / metathesis claim that left zero copies in the Gospel’s Greek transmission is not evidence. 7:157’s 'with them' points at books in hand, not at a lost reading.</w:t>
      </w:r>
    </w:p>
    <w:p>
      <w:pPr>
        <w:spacing w:after="160"/>
      </w:pPr>
      <w:r>
        <w:rPr>
          <w:rFonts w:ascii="Calibri" w:hAnsi="Calibri" w:eastAsia="Calibri"/>
          <w:b w:val="0"/>
          <w:i w:val="0"/>
          <w:color w:val="222222"/>
          <w:sz w:val="22"/>
        </w:rPr>
        <w:t>Pre-Islamic Christian reading: the Holy Spirit. That is the only reading in the fathers who comment John 14–16 before the seventh century. They do not expect a later Arabian prophet as the referent.</w:t>
      </w:r>
    </w:p>
    <w:p>
      <w:pPr>
        <w:spacing w:after="160"/>
      </w:pPr>
      <w:r>
        <w:rPr>
          <w:rFonts w:ascii="Calibri" w:hAnsi="Calibri" w:eastAsia="Calibri"/>
          <w:b w:val="0"/>
          <w:i w:val="0"/>
          <w:color w:val="222222"/>
          <w:sz w:val="22"/>
        </w:rPr>
        <w:t>61:6 (Aḥmad) is parked. Even when walked it is the Quran’s own name-claim, not a Greek variant.</w:t>
      </w:r>
    </w:p>
    <w:p>
      <w:pPr>
        <w:spacing w:after="160"/>
      </w:pPr>
      <w:r>
        <w:rPr>
          <w:rFonts w:ascii="Calibri" w:hAnsi="Calibri" w:eastAsia="Calibri"/>
          <w:b w:val="0"/>
          <w:i w:val="0"/>
          <w:color w:val="222222"/>
          <w:sz w:val="22"/>
        </w:rPr>
        <w:t>QB-0208 CONTRAST. Wording, context, manuscripts, and pre-Islamic Christian reading all name the Spirit, not a future human messenger. The Ahmad/periklytos path fails the 'with them' test.</w:t>
      </w:r>
    </w:p>
    <w:p>
      <w:pPr>
        <w:pStyle w:val="Heading1"/>
      </w:pPr>
      <w:r>
        <w:rPr>
          <w:rFonts w:ascii="Calibri" w:hAnsi="Calibri"/>
          <w:color w:val="1B3A4B"/>
        </w:rPr>
        <w:t>7. Scoreboard against 7:157’s own test</w:t>
      </w:r>
    </w:p>
    <w:tbl>
      <w:tblPr>
        <w:tblStyle w:val="TableGrid"/>
        <w:tblW w:type="auto" w:w="0"/>
        <w:tblLook w:firstColumn="1" w:firstRow="1" w:lastColumn="0" w:lastRow="0" w:noHBand="0" w:noVBand="1" w:val="04A0"/>
      </w:tblPr>
      <w:tblGrid>
        <w:gridCol w:w="1958"/>
        <w:gridCol w:w="1958"/>
        <w:gridCol w:w="1958"/>
        <w:gridCol w:w="1958"/>
        <w:gridCol w:w="1958"/>
      </w:tblGrid>
      <w:tr>
        <w:tc>
          <w:tcPr>
            <w:tcW w:type="dxa" w:w="1958"/>
            <w:shd w:fill="1B3A4B" w:val="clear"/>
          </w:tcPr>
          <w:p>
            <w:r/>
            <w:r>
              <w:rPr>
                <w:rFonts w:ascii="Calibri" w:hAnsi="Calibri" w:eastAsia="Calibri"/>
                <w:b/>
                <w:i w:val="0"/>
                <w:color w:val="FFFFFF"/>
                <w:sz w:val="18"/>
              </w:rPr>
              <w:t>Proposed locus</w:t>
            </w:r>
          </w:p>
        </w:tc>
        <w:tc>
          <w:tcPr>
            <w:tcW w:type="dxa" w:w="1958"/>
            <w:shd w:fill="1B3A4B" w:val="clear"/>
          </w:tcPr>
          <w:p>
            <w:r/>
            <w:r>
              <w:rPr>
                <w:rFonts w:ascii="Calibri" w:hAnsi="Calibri" w:eastAsia="Calibri"/>
                <w:b/>
                <w:i w:val="0"/>
                <w:color w:val="FFFFFF"/>
                <w:sz w:val="18"/>
              </w:rPr>
              <w:t>In Torah or Gospel?</w:t>
            </w:r>
          </w:p>
        </w:tc>
        <w:tc>
          <w:tcPr>
            <w:tcW w:type="dxa" w:w="1958"/>
            <w:shd w:fill="1B3A4B" w:val="clear"/>
          </w:tcPr>
          <w:p>
            <w:r/>
            <w:r>
              <w:rPr>
                <w:rFonts w:ascii="Calibri" w:hAnsi="Calibri" w:eastAsia="Calibri"/>
                <w:b/>
                <w:i w:val="0"/>
                <w:color w:val="FFFFFF"/>
                <w:sz w:val="18"/>
              </w:rPr>
              <w:t>Pre-Islamic wording names Muhammad?</w:t>
            </w:r>
          </w:p>
        </w:tc>
        <w:tc>
          <w:tcPr>
            <w:tcW w:type="dxa" w:w="1958"/>
            <w:shd w:fill="1B3A4B" w:val="clear"/>
          </w:tcPr>
          <w:p>
            <w:r/>
            <w:r>
              <w:rPr>
                <w:rFonts w:ascii="Calibri" w:hAnsi="Calibri" w:eastAsia="Calibri"/>
                <w:b/>
                <w:i w:val="0"/>
                <w:color w:val="FFFFFF"/>
                <w:sz w:val="18"/>
              </w:rPr>
              <w:t>Pre-Islamic Jewish/Christian reading names him?</w:t>
            </w:r>
          </w:p>
        </w:tc>
        <w:tc>
          <w:tcPr>
            <w:tcW w:type="dxa" w:w="1958"/>
            <w:shd w:fill="1B3A4B" w:val="clear"/>
          </w:tcPr>
          <w:p>
            <w:r/>
            <w:r>
              <w:rPr>
                <w:rFonts w:ascii="Calibri" w:hAnsi="Calibri" w:eastAsia="Calibri"/>
                <w:b/>
                <w:i w:val="0"/>
                <w:color w:val="FFFFFF"/>
                <w:sz w:val="18"/>
              </w:rPr>
              <w:t>Call</w:t>
            </w:r>
          </w:p>
        </w:tc>
      </w:tr>
      <w:tr>
        <w:tc>
          <w:tcPr>
            <w:tcW w:type="dxa" w:w="1958"/>
          </w:tcPr>
          <w:p>
            <w:r/>
            <w:r>
              <w:rPr>
                <w:rFonts w:ascii="Calibri" w:hAnsi="Calibri" w:eastAsia="Calibri"/>
                <w:b w:val="0"/>
                <w:i w:val="0"/>
                <w:color w:val="222222"/>
                <w:sz w:val="18"/>
              </w:rPr>
              <w:t>Deut 18:15–18</w:t>
            </w:r>
          </w:p>
        </w:tc>
        <w:tc>
          <w:tcPr>
            <w:tcW w:type="dxa" w:w="1958"/>
          </w:tcPr>
          <w:p>
            <w:r/>
            <w:r>
              <w:rPr>
                <w:rFonts w:ascii="Calibri" w:hAnsi="Calibri" w:eastAsia="Calibri"/>
                <w:b w:val="0"/>
                <w:i w:val="0"/>
                <w:color w:val="222222"/>
                <w:sz w:val="18"/>
              </w:rPr>
              <w:t>Torah yes</w:t>
            </w:r>
          </w:p>
        </w:tc>
        <w:tc>
          <w:tcPr>
            <w:tcW w:type="dxa" w:w="1958"/>
          </w:tcPr>
          <w:p>
            <w:r/>
            <w:r>
              <w:rPr>
                <w:rFonts w:ascii="Calibri" w:hAnsi="Calibri" w:eastAsia="Calibri"/>
                <w:b w:val="0"/>
                <w:i w:val="0"/>
                <w:color w:val="222222"/>
                <w:sz w:val="18"/>
              </w:rPr>
              <w:t>No. Prophet from your midst / brothers, like Moses.</w:t>
            </w:r>
          </w:p>
        </w:tc>
        <w:tc>
          <w:tcPr>
            <w:tcW w:type="dxa" w:w="1958"/>
          </w:tcPr>
          <w:p>
            <w:r/>
            <w:r>
              <w:rPr>
                <w:rFonts w:ascii="Calibri" w:hAnsi="Calibri" w:eastAsia="Calibri"/>
                <w:b w:val="0"/>
                <w:i w:val="0"/>
                <w:color w:val="222222"/>
                <w:sz w:val="18"/>
              </w:rPr>
              <w:t>Qumran: Israelite eschatological prophet. Church: Jesus.</w:t>
            </w:r>
          </w:p>
        </w:tc>
        <w:tc>
          <w:tcPr>
            <w:tcW w:type="dxa" w:w="1958"/>
          </w:tcPr>
          <w:p>
            <w:r/>
            <w:r>
              <w:rPr>
                <w:rFonts w:ascii="Calibri" w:hAnsi="Calibri" w:eastAsia="Calibri"/>
                <w:b w:val="0"/>
                <w:i w:val="0"/>
                <w:color w:val="222222"/>
                <w:sz w:val="18"/>
              </w:rPr>
              <w:t>POSSIBLE RELATIONSHIP of office; not a finding of this man</w:t>
            </w:r>
          </w:p>
        </w:tc>
      </w:tr>
      <w:tr>
        <w:tc>
          <w:tcPr>
            <w:tcW w:type="dxa" w:w="1958"/>
            <w:shd w:fill="F4F1EA" w:val="clear"/>
          </w:tcPr>
          <w:p>
            <w:r/>
            <w:r>
              <w:rPr>
                <w:rFonts w:ascii="Calibri" w:hAnsi="Calibri" w:eastAsia="Calibri"/>
                <w:b w:val="0"/>
                <w:i w:val="0"/>
                <w:color w:val="222222"/>
                <w:sz w:val="18"/>
              </w:rPr>
              <w:t>Deut 33:2</w:t>
            </w:r>
          </w:p>
        </w:tc>
        <w:tc>
          <w:tcPr>
            <w:tcW w:type="dxa" w:w="1958"/>
            <w:shd w:fill="F4F1EA" w:val="clear"/>
          </w:tcPr>
          <w:p>
            <w:r/>
            <w:r>
              <w:rPr>
                <w:rFonts w:ascii="Calibri" w:hAnsi="Calibri" w:eastAsia="Calibri"/>
                <w:b w:val="0"/>
                <w:i w:val="0"/>
                <w:color w:val="222222"/>
                <w:sz w:val="18"/>
              </w:rPr>
              <w:t>Torah yes</w:t>
            </w:r>
          </w:p>
        </w:tc>
        <w:tc>
          <w:tcPr>
            <w:tcW w:type="dxa" w:w="1958"/>
            <w:shd w:fill="F4F1EA" w:val="clear"/>
          </w:tcPr>
          <w:p>
            <w:r/>
            <w:r>
              <w:rPr>
                <w:rFonts w:ascii="Calibri" w:hAnsi="Calibri" w:eastAsia="Calibri"/>
                <w:b w:val="0"/>
                <w:i w:val="0"/>
                <w:color w:val="222222"/>
                <w:sz w:val="18"/>
              </w:rPr>
              <w:t>No. YHWH marches from Sinai / Seir / Paran.</w:t>
            </w:r>
          </w:p>
        </w:tc>
        <w:tc>
          <w:tcPr>
            <w:tcW w:type="dxa" w:w="1958"/>
            <w:shd w:fill="F4F1EA" w:val="clear"/>
          </w:tcPr>
          <w:p>
            <w:r/>
            <w:r>
              <w:rPr>
                <w:rFonts w:ascii="Calibri" w:hAnsi="Calibri" w:eastAsia="Calibri"/>
                <w:b w:val="0"/>
                <w:i w:val="0"/>
                <w:color w:val="222222"/>
                <w:sz w:val="18"/>
              </w:rPr>
              <w:t>Theophany, or nations refusing Torah.</w:t>
            </w:r>
          </w:p>
        </w:tc>
        <w:tc>
          <w:tcPr>
            <w:tcW w:type="dxa" w:w="1958"/>
            <w:shd w:fill="F4F1EA" w:val="clear"/>
          </w:tcPr>
          <w:p>
            <w:r/>
            <w:r>
              <w:rPr>
                <w:rFonts w:ascii="Calibri" w:hAnsi="Calibri" w:eastAsia="Calibri"/>
                <w:b w:val="0"/>
                <w:i w:val="0"/>
                <w:color w:val="222222"/>
                <w:sz w:val="18"/>
              </w:rPr>
              <w:t>NO MATCH</w:t>
            </w:r>
          </w:p>
        </w:tc>
      </w:tr>
      <w:tr>
        <w:tc>
          <w:tcPr>
            <w:tcW w:type="dxa" w:w="1958"/>
          </w:tcPr>
          <w:p>
            <w:r/>
            <w:r>
              <w:rPr>
                <w:rFonts w:ascii="Calibri" w:hAnsi="Calibri" w:eastAsia="Calibri"/>
                <w:b w:val="0"/>
                <w:i w:val="0"/>
                <w:color w:val="222222"/>
                <w:sz w:val="18"/>
              </w:rPr>
              <w:t>Isaiah 42</w:t>
            </w:r>
          </w:p>
        </w:tc>
        <w:tc>
          <w:tcPr>
            <w:tcW w:type="dxa" w:w="1958"/>
          </w:tcPr>
          <w:p>
            <w:r/>
            <w:r>
              <w:rPr>
                <w:rFonts w:ascii="Calibri" w:hAnsi="Calibri" w:eastAsia="Calibri"/>
                <w:b w:val="0"/>
                <w:i w:val="0"/>
                <w:color w:val="222222"/>
                <w:sz w:val="18"/>
              </w:rPr>
              <w:t>Among the Prophets; not Torah, not Gospel</w:t>
            </w:r>
          </w:p>
        </w:tc>
        <w:tc>
          <w:tcPr>
            <w:tcW w:type="dxa" w:w="1958"/>
          </w:tcPr>
          <w:p>
            <w:r/>
            <w:r>
              <w:rPr>
                <w:rFonts w:ascii="Calibri" w:hAnsi="Calibri" w:eastAsia="Calibri"/>
                <w:b w:val="0"/>
                <w:i w:val="0"/>
                <w:color w:val="222222"/>
                <w:sz w:val="18"/>
              </w:rPr>
              <w:t>No. Servant; Kedar is in the praise-geography.</w:t>
            </w:r>
          </w:p>
        </w:tc>
        <w:tc>
          <w:tcPr>
            <w:tcW w:type="dxa" w:w="1958"/>
          </w:tcPr>
          <w:p>
            <w:r/>
            <w:r>
              <w:rPr>
                <w:rFonts w:ascii="Calibri" w:hAnsi="Calibri" w:eastAsia="Calibri"/>
                <w:b w:val="0"/>
                <w:i w:val="0"/>
                <w:color w:val="222222"/>
                <w:sz w:val="18"/>
              </w:rPr>
              <w:t>Israel or an individual; Church: Jesus.</w:t>
            </w:r>
          </w:p>
        </w:tc>
        <w:tc>
          <w:tcPr>
            <w:tcW w:type="dxa" w:w="1958"/>
          </w:tcPr>
          <w:p>
            <w:r/>
            <w:r>
              <w:rPr>
                <w:rFonts w:ascii="Calibri" w:hAnsi="Calibri" w:eastAsia="Calibri"/>
                <w:b w:val="0"/>
                <w:i w:val="0"/>
                <w:color w:val="222222"/>
                <w:sz w:val="18"/>
              </w:rPr>
              <w:t>POSSIBLE RELATIONSHIP of a servant to the nations; Kedar does not ID him</w:t>
            </w:r>
          </w:p>
        </w:tc>
      </w:tr>
      <w:tr>
        <w:tc>
          <w:tcPr>
            <w:tcW w:type="dxa" w:w="1958"/>
            <w:shd w:fill="F4F1EA" w:val="clear"/>
          </w:tcPr>
          <w:p>
            <w:r/>
            <w:r>
              <w:rPr>
                <w:rFonts w:ascii="Calibri" w:hAnsi="Calibri" w:eastAsia="Calibri"/>
                <w:b w:val="0"/>
                <w:i w:val="0"/>
                <w:color w:val="222222"/>
                <w:sz w:val="18"/>
              </w:rPr>
              <w:t>Song 5:16</w:t>
            </w:r>
          </w:p>
        </w:tc>
        <w:tc>
          <w:tcPr>
            <w:tcW w:type="dxa" w:w="1958"/>
            <w:shd w:fill="F4F1EA" w:val="clear"/>
          </w:tcPr>
          <w:p>
            <w:r/>
            <w:r>
              <w:rPr>
                <w:rFonts w:ascii="Calibri" w:hAnsi="Calibri" w:eastAsia="Calibri"/>
                <w:b w:val="0"/>
                <w:i w:val="0"/>
                <w:color w:val="222222"/>
                <w:sz w:val="18"/>
              </w:rPr>
              <w:t>Neither Torah nor Gospel</w:t>
            </w:r>
          </w:p>
        </w:tc>
        <w:tc>
          <w:tcPr>
            <w:tcW w:type="dxa" w:w="1958"/>
            <w:shd w:fill="F4F1EA" w:val="clear"/>
          </w:tcPr>
          <w:p>
            <w:r/>
            <w:r>
              <w:rPr>
                <w:rFonts w:ascii="Calibri" w:hAnsi="Calibri" w:eastAsia="Calibri"/>
                <w:b w:val="0"/>
                <w:i w:val="0"/>
                <w:color w:val="222222"/>
                <w:sz w:val="18"/>
              </w:rPr>
              <w:t>No. Plural 'desirable things.'</w:t>
            </w:r>
          </w:p>
        </w:tc>
        <w:tc>
          <w:tcPr>
            <w:tcW w:type="dxa" w:w="1958"/>
            <w:shd w:fill="F4F1EA" w:val="clear"/>
          </w:tcPr>
          <w:p>
            <w:r/>
            <w:r>
              <w:rPr>
                <w:rFonts w:ascii="Calibri" w:hAnsi="Calibri" w:eastAsia="Calibri"/>
                <w:b w:val="0"/>
                <w:i w:val="0"/>
                <w:color w:val="222222"/>
                <w:sz w:val="18"/>
              </w:rPr>
              <w:t>Love-poem / allegory. Never a personal name.</w:t>
            </w:r>
          </w:p>
        </w:tc>
        <w:tc>
          <w:tcPr>
            <w:tcW w:type="dxa" w:w="1958"/>
            <w:shd w:fill="F4F1EA" w:val="clear"/>
          </w:tcPr>
          <w:p>
            <w:r/>
            <w:r>
              <w:rPr>
                <w:rFonts w:ascii="Calibri" w:hAnsi="Calibri" w:eastAsia="Calibri"/>
                <w:b w:val="0"/>
                <w:i w:val="0"/>
                <w:color w:val="222222"/>
                <w:sz w:val="18"/>
              </w:rPr>
              <w:t>NO MATCH</w:t>
            </w:r>
          </w:p>
        </w:tc>
      </w:tr>
      <w:tr>
        <w:tc>
          <w:tcPr>
            <w:tcW w:type="dxa" w:w="1958"/>
          </w:tcPr>
          <w:p>
            <w:r/>
            <w:r>
              <w:rPr>
                <w:rFonts w:ascii="Calibri" w:hAnsi="Calibri" w:eastAsia="Calibri"/>
                <w:b w:val="0"/>
                <w:i w:val="0"/>
                <w:color w:val="222222"/>
                <w:sz w:val="18"/>
              </w:rPr>
              <w:t>John 14–16</w:t>
            </w:r>
          </w:p>
        </w:tc>
        <w:tc>
          <w:tcPr>
            <w:tcW w:type="dxa" w:w="1958"/>
          </w:tcPr>
          <w:p>
            <w:r/>
            <w:r>
              <w:rPr>
                <w:rFonts w:ascii="Calibri" w:hAnsi="Calibri" w:eastAsia="Calibri"/>
                <w:b w:val="0"/>
                <w:i w:val="0"/>
                <w:color w:val="222222"/>
                <w:sz w:val="18"/>
              </w:rPr>
              <w:t>Gospel yes</w:t>
            </w:r>
          </w:p>
        </w:tc>
        <w:tc>
          <w:tcPr>
            <w:tcW w:type="dxa" w:w="1958"/>
          </w:tcPr>
          <w:p>
            <w:r/>
            <w:r>
              <w:rPr>
                <w:rFonts w:ascii="Calibri" w:hAnsi="Calibri" w:eastAsia="Calibri"/>
                <w:b w:val="0"/>
                <w:i w:val="0"/>
                <w:color w:val="222222"/>
                <w:sz w:val="18"/>
              </w:rPr>
              <w:t>No. parakletos in every Greek witness.</w:t>
            </w:r>
          </w:p>
        </w:tc>
        <w:tc>
          <w:tcPr>
            <w:tcW w:type="dxa" w:w="1958"/>
          </w:tcPr>
          <w:p>
            <w:r/>
            <w:r>
              <w:rPr>
                <w:rFonts w:ascii="Calibri" w:hAnsi="Calibri" w:eastAsia="Calibri"/>
                <w:b w:val="0"/>
                <w:i w:val="0"/>
                <w:color w:val="222222"/>
                <w:sz w:val="18"/>
              </w:rPr>
              <w:t>Holy Spirit.</w:t>
            </w:r>
          </w:p>
        </w:tc>
        <w:tc>
          <w:tcPr>
            <w:tcW w:type="dxa" w:w="1958"/>
          </w:tcPr>
          <w:p>
            <w:r/>
            <w:r>
              <w:rPr>
                <w:rFonts w:ascii="Calibri" w:hAnsi="Calibri" w:eastAsia="Calibri"/>
                <w:b w:val="0"/>
                <w:i w:val="0"/>
                <w:color w:val="222222"/>
                <w:sz w:val="18"/>
              </w:rPr>
              <w:t>CONTRAST; periklytos is unevidenced</w:t>
            </w:r>
          </w:p>
        </w:tc>
      </w:tr>
    </w:tbl>
    <w:p/>
    <w:p>
      <w:pPr>
        <w:pStyle w:val="Heading1"/>
      </w:pPr>
      <w:r>
        <w:rPr>
          <w:rFonts w:ascii="Calibri" w:hAnsi="Calibri"/>
          <w:color w:val="1B3A4B"/>
        </w:rPr>
        <w:t>8. What this note will and will not say</w:t>
      </w:r>
    </w:p>
    <w:p>
      <w:pPr>
        <w:spacing w:after="160"/>
      </w:pPr>
      <w:r>
        <w:rPr>
          <w:rFonts w:ascii="Calibri" w:hAnsi="Calibri" w:eastAsia="Calibri"/>
          <w:b w:val="0"/>
          <w:i w:val="0"/>
          <w:color w:val="222222"/>
          <w:sz w:val="22"/>
        </w:rPr>
        <w:t>Will say: 7:157 is a direct claim that the two books in their hands contain him written. The five popular identifications, tested by wording, context, pre-Islamic copies, and pre-Islamic readers, do not yield that finding.</w:t>
      </w:r>
    </w:p>
    <w:p>
      <w:pPr>
        <w:spacing w:after="160"/>
      </w:pPr>
      <w:r>
        <w:rPr>
          <w:rFonts w:ascii="Calibri" w:hAnsi="Calibri" w:eastAsia="Calibri"/>
          <w:b w:val="0"/>
          <w:i w:val="0"/>
          <w:color w:val="222222"/>
          <w:sz w:val="22"/>
        </w:rPr>
        <w:t>Will not say the Quran 'lied.' The project does not adjudicate revelation. It records what the cited books, as we have them from before Islam, actually contain and how their own communities read them.</w:t>
      </w:r>
    </w:p>
    <w:p>
      <w:pPr>
        <w:spacing w:after="160"/>
      </w:pPr>
      <w:r>
        <w:rPr>
          <w:rFonts w:ascii="Calibri" w:hAnsi="Calibri" w:eastAsia="Calibri"/>
          <w:b w:val="0"/>
          <w:i w:val="0"/>
          <w:color w:val="222222"/>
          <w:sz w:val="22"/>
        </w:rPr>
        <w:t>Will not spend 61:6, 3:81, or later tafsir lists of 'biblical proofs' as if they were 7:157.</w:t>
      </w:r>
    </w:p>
    <w:p>
      <w:pPr>
        <w:spacing w:after="160"/>
      </w:pPr>
      <w:r>
        <w:rPr>
          <w:rFonts w:ascii="Calibri" w:hAnsi="Calibri" w:eastAsia="Calibri"/>
          <w:b w:val="0"/>
          <w:i w:val="0"/>
          <w:color w:val="222222"/>
          <w:sz w:val="22"/>
        </w:rPr>
        <w:t>Will not treat absence of a named Muhammad in the pre-Islamic Bible as proof that no other kind of 'writing' (typology, office, unnamed servant) could be meant. It does treat the popular named-proofs as failing on their own terms.</w:t>
      </w:r>
    </w:p>
    <w:p>
      <w:pPr>
        <w:pStyle w:val="Heading1"/>
      </w:pPr>
      <w:r>
        <w:rPr>
          <w:rFonts w:ascii="Calibri" w:hAnsi="Calibri"/>
          <w:color w:val="1B3A4B"/>
        </w:rPr>
        <w:t>9. IDs</w:t>
      </w:r>
    </w:p>
    <w:tbl>
      <w:tblPr>
        <w:tblStyle w:val="TableGrid"/>
        <w:tblW w:type="auto" w:w="0"/>
        <w:tblLook w:firstColumn="1" w:firstRow="1" w:lastColumn="0" w:lastRow="0" w:noHBand="0" w:noVBand="1" w:val="04A0"/>
      </w:tblPr>
      <w:tblGrid>
        <w:gridCol w:w="4896"/>
        <w:gridCol w:w="4896"/>
      </w:tblGrid>
      <w:tr>
        <w:tc>
          <w:tcPr>
            <w:tcW w:type="dxa" w:w="4896"/>
            <w:shd w:fill="1B3A4B" w:val="clear"/>
          </w:tcPr>
          <w:p>
            <w:r/>
            <w:r>
              <w:rPr>
                <w:rFonts w:ascii="Calibri" w:hAnsi="Calibri" w:eastAsia="Calibri"/>
                <w:b/>
                <w:i w:val="0"/>
                <w:color w:val="FFFFFF"/>
                <w:sz w:val="18"/>
              </w:rPr>
              <w:t>ID</w:t>
            </w:r>
          </w:p>
        </w:tc>
        <w:tc>
          <w:tcPr>
            <w:tcW w:type="dxa" w:w="4896"/>
            <w:shd w:fill="1B3A4B" w:val="clear"/>
          </w:tcPr>
          <w:p>
            <w:r/>
            <w:r>
              <w:rPr>
                <w:rFonts w:ascii="Calibri" w:hAnsi="Calibri" w:eastAsia="Calibri"/>
                <w:b/>
                <w:i w:val="0"/>
                <w:color w:val="FFFFFF"/>
                <w:sz w:val="18"/>
              </w:rPr>
              <w:t>Title</w:t>
            </w:r>
          </w:p>
        </w:tc>
      </w:tr>
      <w:tr>
        <w:tc>
          <w:tcPr>
            <w:tcW w:type="dxa" w:w="4896"/>
          </w:tcPr>
          <w:p>
            <w:r/>
            <w:r>
              <w:rPr>
                <w:rFonts w:ascii="Calibri" w:hAnsi="Calibri" w:eastAsia="Calibri"/>
                <w:b w:val="0"/>
                <w:i w:val="0"/>
                <w:color w:val="222222"/>
                <w:sz w:val="18"/>
              </w:rPr>
              <w:t>QDISC-0358</w:t>
            </w:r>
          </w:p>
        </w:tc>
        <w:tc>
          <w:tcPr>
            <w:tcW w:type="dxa" w:w="4896"/>
          </w:tcPr>
          <w:p>
            <w:r/>
            <w:r>
              <w:rPr>
                <w:rFonts w:ascii="Calibri" w:hAnsi="Calibri" w:eastAsia="Calibri"/>
                <w:b w:val="0"/>
                <w:i w:val="0"/>
                <w:color w:val="222222"/>
                <w:sz w:val="18"/>
              </w:rPr>
              <w:t>7:157 claims a finding written with them in Torah and Gospel — no verse quoted</w:t>
            </w:r>
          </w:p>
        </w:tc>
      </w:tr>
      <w:tr>
        <w:tc>
          <w:tcPr>
            <w:tcW w:type="dxa" w:w="4896"/>
            <w:shd w:fill="F4F1EA" w:val="clear"/>
          </w:tcPr>
          <w:p>
            <w:r/>
            <w:r>
              <w:rPr>
                <w:rFonts w:ascii="Calibri" w:hAnsi="Calibri" w:eastAsia="Calibri"/>
                <w:b w:val="0"/>
                <w:i w:val="0"/>
                <w:color w:val="222222"/>
                <w:sz w:val="18"/>
              </w:rPr>
              <w:t>QDISC-0359</w:t>
            </w:r>
          </w:p>
        </w:tc>
        <w:tc>
          <w:tcPr>
            <w:tcW w:type="dxa" w:w="4896"/>
            <w:shd w:fill="F4F1EA" w:val="clear"/>
          </w:tcPr>
          <w:p>
            <w:r/>
            <w:r>
              <w:rPr>
                <w:rFonts w:ascii="Calibri" w:hAnsi="Calibri" w:eastAsia="Calibri"/>
                <w:b w:val="0"/>
                <w:i w:val="0"/>
                <w:color w:val="222222"/>
                <w:sz w:val="18"/>
              </w:rPr>
              <w:t>Deut 18:15–18: from your midst / your brothers; Qumran Israelite prophet; NT Jesus</w:t>
            </w:r>
          </w:p>
        </w:tc>
      </w:tr>
      <w:tr>
        <w:tc>
          <w:tcPr>
            <w:tcW w:type="dxa" w:w="4896"/>
          </w:tcPr>
          <w:p>
            <w:r/>
            <w:r>
              <w:rPr>
                <w:rFonts w:ascii="Calibri" w:hAnsi="Calibri" w:eastAsia="Calibri"/>
                <w:b w:val="0"/>
                <w:i w:val="0"/>
                <w:color w:val="222222"/>
                <w:sz w:val="18"/>
              </w:rPr>
              <w:t>QDISC-0360</w:t>
            </w:r>
          </w:p>
        </w:tc>
        <w:tc>
          <w:tcPr>
            <w:tcW w:type="dxa" w:w="4896"/>
          </w:tcPr>
          <w:p>
            <w:r/>
            <w:r>
              <w:rPr>
                <w:rFonts w:ascii="Calibri" w:hAnsi="Calibri" w:eastAsia="Calibri"/>
                <w:b w:val="0"/>
                <w:i w:val="0"/>
                <w:color w:val="222222"/>
                <w:sz w:val="18"/>
              </w:rPr>
              <w:t>Deut 33:2: YHWH-theophany; Paran is not Mecca in the Torah's map</w:t>
            </w:r>
          </w:p>
        </w:tc>
      </w:tr>
      <w:tr>
        <w:tc>
          <w:tcPr>
            <w:tcW w:type="dxa" w:w="4896"/>
            <w:shd w:fill="F4F1EA" w:val="clear"/>
          </w:tcPr>
          <w:p>
            <w:r/>
            <w:r>
              <w:rPr>
                <w:rFonts w:ascii="Calibri" w:hAnsi="Calibri" w:eastAsia="Calibri"/>
                <w:b w:val="0"/>
                <w:i w:val="0"/>
                <w:color w:val="222222"/>
                <w:sz w:val="18"/>
              </w:rPr>
              <w:t>QDISC-0361</w:t>
            </w:r>
          </w:p>
        </w:tc>
        <w:tc>
          <w:tcPr>
            <w:tcW w:type="dxa" w:w="4896"/>
            <w:shd w:fill="F4F1EA" w:val="clear"/>
          </w:tcPr>
          <w:p>
            <w:r/>
            <w:r>
              <w:rPr>
                <w:rFonts w:ascii="Calibri" w:hAnsi="Calibri" w:eastAsia="Calibri"/>
                <w:b w:val="0"/>
                <w:i w:val="0"/>
                <w:color w:val="222222"/>
                <w:sz w:val="18"/>
              </w:rPr>
              <w:t>Isa 42: servant; Kedar/Sela are praise-geography; 1QIsa-a pre-Islamic</w:t>
            </w:r>
          </w:p>
        </w:tc>
      </w:tr>
      <w:tr>
        <w:tc>
          <w:tcPr>
            <w:tcW w:type="dxa" w:w="4896"/>
          </w:tcPr>
          <w:p>
            <w:r/>
            <w:r>
              <w:rPr>
                <w:rFonts w:ascii="Calibri" w:hAnsi="Calibri" w:eastAsia="Calibri"/>
                <w:b w:val="0"/>
                <w:i w:val="0"/>
                <w:color w:val="222222"/>
                <w:sz w:val="18"/>
              </w:rPr>
              <w:t>QDISC-0362</w:t>
            </w:r>
          </w:p>
        </w:tc>
        <w:tc>
          <w:tcPr>
            <w:tcW w:type="dxa" w:w="4896"/>
          </w:tcPr>
          <w:p>
            <w:r/>
            <w:r>
              <w:rPr>
                <w:rFonts w:ascii="Calibri" w:hAnsi="Calibri" w:eastAsia="Calibri"/>
                <w:b w:val="0"/>
                <w:i w:val="0"/>
                <w:color w:val="222222"/>
                <w:sz w:val="18"/>
              </w:rPr>
              <w:t>Song 5:16 mahamaddim = desirable things, not a personal name</w:t>
            </w:r>
          </w:p>
        </w:tc>
      </w:tr>
      <w:tr>
        <w:tc>
          <w:tcPr>
            <w:tcW w:type="dxa" w:w="4896"/>
            <w:shd w:fill="F4F1EA" w:val="clear"/>
          </w:tcPr>
          <w:p>
            <w:r/>
            <w:r>
              <w:rPr>
                <w:rFonts w:ascii="Calibri" w:hAnsi="Calibri" w:eastAsia="Calibri"/>
                <w:b w:val="0"/>
                <w:i w:val="0"/>
                <w:color w:val="222222"/>
                <w:sz w:val="18"/>
              </w:rPr>
              <w:t>QDISC-0363</w:t>
            </w:r>
          </w:p>
        </w:tc>
        <w:tc>
          <w:tcPr>
            <w:tcW w:type="dxa" w:w="4896"/>
            <w:shd w:fill="F4F1EA" w:val="clear"/>
          </w:tcPr>
          <w:p>
            <w:r/>
            <w:r>
              <w:rPr>
                <w:rFonts w:ascii="Calibri" w:hAnsi="Calibri" w:eastAsia="Calibri"/>
                <w:b w:val="0"/>
                <w:i w:val="0"/>
                <w:color w:val="222222"/>
                <w:sz w:val="18"/>
              </w:rPr>
              <w:t>John 14–16 parakletos in P66 and uncials; no periklytos witness</w:t>
            </w:r>
          </w:p>
        </w:tc>
      </w:tr>
      <w:tr>
        <w:tc>
          <w:tcPr>
            <w:tcW w:type="dxa" w:w="4896"/>
          </w:tcPr>
          <w:p>
            <w:r/>
            <w:r>
              <w:rPr>
                <w:rFonts w:ascii="Calibri" w:hAnsi="Calibri" w:eastAsia="Calibri"/>
                <w:b w:val="0"/>
                <w:i w:val="0"/>
                <w:color w:val="222222"/>
                <w:sz w:val="18"/>
              </w:rPr>
              <w:t>QDISC-0364</w:t>
            </w:r>
          </w:p>
        </w:tc>
        <w:tc>
          <w:tcPr>
            <w:tcW w:type="dxa" w:w="4896"/>
          </w:tcPr>
          <w:p>
            <w:r/>
            <w:r>
              <w:rPr>
                <w:rFonts w:ascii="Calibri" w:hAnsi="Calibri" w:eastAsia="Calibri"/>
                <w:b w:val="0"/>
                <w:i w:val="0"/>
                <w:color w:val="222222"/>
                <w:sz w:val="18"/>
              </w:rPr>
              <w:t>Pre-Islamic Jewish and Christian readings do not identify these loci as Muhammad</w:t>
            </w:r>
          </w:p>
        </w:tc>
      </w:tr>
      <w:tr>
        <w:tc>
          <w:tcPr>
            <w:tcW w:type="dxa" w:w="4896"/>
            <w:shd w:fill="F4F1EA" w:val="clear"/>
          </w:tcPr>
          <w:p>
            <w:r/>
            <w:r>
              <w:rPr>
                <w:rFonts w:ascii="Calibri" w:hAnsi="Calibri" w:eastAsia="Calibri"/>
                <w:b w:val="0"/>
                <w:i w:val="0"/>
                <w:color w:val="222222"/>
                <w:sz w:val="18"/>
              </w:rPr>
              <w:t>QDISC-0365</w:t>
            </w:r>
          </w:p>
        </w:tc>
        <w:tc>
          <w:tcPr>
            <w:tcW w:type="dxa" w:w="4896"/>
            <w:shd w:fill="F4F1EA" w:val="clear"/>
          </w:tcPr>
          <w:p>
            <w:r/>
            <w:r>
              <w:rPr>
                <w:rFonts w:ascii="Calibri" w:hAnsi="Calibri" w:eastAsia="Calibri"/>
                <w:b w:val="0"/>
                <w:i w:val="0"/>
                <w:color w:val="222222"/>
                <w:sz w:val="18"/>
              </w:rPr>
              <w:t>A lost-reading theory conflicts with 7:157's 'with them'</w:t>
            </w:r>
          </w:p>
        </w:tc>
      </w:tr>
      <w:tr>
        <w:tc>
          <w:tcPr>
            <w:tcW w:type="dxa" w:w="4896"/>
          </w:tcPr>
          <w:p>
            <w:r/>
            <w:r>
              <w:rPr>
                <w:rFonts w:ascii="Calibri" w:hAnsi="Calibri" w:eastAsia="Calibri"/>
                <w:b w:val="0"/>
                <w:i w:val="0"/>
                <w:color w:val="222222"/>
                <w:sz w:val="18"/>
              </w:rPr>
              <w:t>QB-0204</w:t>
            </w:r>
          </w:p>
        </w:tc>
        <w:tc>
          <w:tcPr>
            <w:tcW w:type="dxa" w:w="4896"/>
          </w:tcPr>
          <w:p>
            <w:r/>
            <w:r>
              <w:rPr>
                <w:rFonts w:ascii="Calibri" w:hAnsi="Calibri" w:eastAsia="Calibri"/>
                <w:b w:val="0"/>
                <w:i w:val="0"/>
                <w:color w:val="222222"/>
                <w:sz w:val="18"/>
              </w:rPr>
              <w:t>Deut 18 office-cousin, not a named finding</w:t>
            </w:r>
          </w:p>
        </w:tc>
      </w:tr>
      <w:tr>
        <w:tc>
          <w:tcPr>
            <w:tcW w:type="dxa" w:w="4896"/>
            <w:shd w:fill="F4F1EA" w:val="clear"/>
          </w:tcPr>
          <w:p>
            <w:r/>
            <w:r>
              <w:rPr>
                <w:rFonts w:ascii="Calibri" w:hAnsi="Calibri" w:eastAsia="Calibri"/>
                <w:b w:val="0"/>
                <w:i w:val="0"/>
                <w:color w:val="222222"/>
                <w:sz w:val="18"/>
              </w:rPr>
              <w:t>QB-0205</w:t>
            </w:r>
          </w:p>
        </w:tc>
        <w:tc>
          <w:tcPr>
            <w:tcW w:type="dxa" w:w="4896"/>
            <w:shd w:fill="F4F1EA" w:val="clear"/>
          </w:tcPr>
          <w:p>
            <w:r/>
            <w:r>
              <w:rPr>
                <w:rFonts w:ascii="Calibri" w:hAnsi="Calibri" w:eastAsia="Calibri"/>
                <w:b w:val="0"/>
                <w:i w:val="0"/>
                <w:color w:val="222222"/>
                <w:sz w:val="18"/>
              </w:rPr>
              <w:t>Deut 33:2 NO MATCH</w:t>
            </w:r>
          </w:p>
        </w:tc>
      </w:tr>
      <w:tr>
        <w:tc>
          <w:tcPr>
            <w:tcW w:type="dxa" w:w="4896"/>
          </w:tcPr>
          <w:p>
            <w:r/>
            <w:r>
              <w:rPr>
                <w:rFonts w:ascii="Calibri" w:hAnsi="Calibri" w:eastAsia="Calibri"/>
                <w:b w:val="0"/>
                <w:i w:val="0"/>
                <w:color w:val="222222"/>
                <w:sz w:val="18"/>
              </w:rPr>
              <w:t>QB-0206</w:t>
            </w:r>
          </w:p>
        </w:tc>
        <w:tc>
          <w:tcPr>
            <w:tcW w:type="dxa" w:w="4896"/>
          </w:tcPr>
          <w:p>
            <w:r/>
            <w:r>
              <w:rPr>
                <w:rFonts w:ascii="Calibri" w:hAnsi="Calibri" w:eastAsia="Calibri"/>
                <w:b w:val="0"/>
                <w:i w:val="0"/>
                <w:color w:val="222222"/>
                <w:sz w:val="18"/>
              </w:rPr>
              <w:t>Isa 42 servant-to-nations cousin; Kedar does not name him</w:t>
            </w:r>
          </w:p>
        </w:tc>
      </w:tr>
      <w:tr>
        <w:tc>
          <w:tcPr>
            <w:tcW w:type="dxa" w:w="4896"/>
            <w:shd w:fill="F4F1EA" w:val="clear"/>
          </w:tcPr>
          <w:p>
            <w:r/>
            <w:r>
              <w:rPr>
                <w:rFonts w:ascii="Calibri" w:hAnsi="Calibri" w:eastAsia="Calibri"/>
                <w:b w:val="0"/>
                <w:i w:val="0"/>
                <w:color w:val="222222"/>
                <w:sz w:val="18"/>
              </w:rPr>
              <w:t>QB-0207</w:t>
            </w:r>
          </w:p>
        </w:tc>
        <w:tc>
          <w:tcPr>
            <w:tcW w:type="dxa" w:w="4896"/>
            <w:shd w:fill="F4F1EA" w:val="clear"/>
          </w:tcPr>
          <w:p>
            <w:r/>
            <w:r>
              <w:rPr>
                <w:rFonts w:ascii="Calibri" w:hAnsi="Calibri" w:eastAsia="Calibri"/>
                <w:b w:val="0"/>
                <w:i w:val="0"/>
                <w:color w:val="222222"/>
                <w:sz w:val="18"/>
              </w:rPr>
              <w:t>Song 5:16 NO MATCH</w:t>
            </w:r>
          </w:p>
        </w:tc>
      </w:tr>
      <w:tr>
        <w:tc>
          <w:tcPr>
            <w:tcW w:type="dxa" w:w="4896"/>
          </w:tcPr>
          <w:p>
            <w:r/>
            <w:r>
              <w:rPr>
                <w:rFonts w:ascii="Calibri" w:hAnsi="Calibri" w:eastAsia="Calibri"/>
                <w:b w:val="0"/>
                <w:i w:val="0"/>
                <w:color w:val="222222"/>
                <w:sz w:val="18"/>
              </w:rPr>
              <w:t>QB-0208</w:t>
            </w:r>
          </w:p>
        </w:tc>
        <w:tc>
          <w:tcPr>
            <w:tcW w:type="dxa" w:w="4896"/>
          </w:tcPr>
          <w:p>
            <w:r/>
            <w:r>
              <w:rPr>
                <w:rFonts w:ascii="Calibri" w:hAnsi="Calibri" w:eastAsia="Calibri"/>
                <w:b w:val="0"/>
                <w:i w:val="0"/>
                <w:color w:val="222222"/>
                <w:sz w:val="18"/>
              </w:rPr>
              <w:t>Paraclete CONTRAST; manuscripts against periklytos</w:t>
            </w:r>
          </w:p>
        </w:tc>
      </w:tr>
      <w:tr>
        <w:tc>
          <w:tcPr>
            <w:tcW w:type="dxa" w:w="4896"/>
            <w:shd w:fill="F4F1EA" w:val="clear"/>
          </w:tcPr>
          <w:p>
            <w:r/>
            <w:r>
              <w:rPr>
                <w:rFonts w:ascii="Calibri" w:hAnsi="Calibri" w:eastAsia="Calibri"/>
                <w:b w:val="0"/>
                <w:i w:val="0"/>
                <w:color w:val="222222"/>
                <w:sz w:val="18"/>
              </w:rPr>
              <w:t>QB-0209</w:t>
            </w:r>
          </w:p>
        </w:tc>
        <w:tc>
          <w:tcPr>
            <w:tcW w:type="dxa" w:w="4896"/>
            <w:shd w:fill="F4F1EA" w:val="clear"/>
          </w:tcPr>
          <w:p>
            <w:r/>
            <w:r>
              <w:rPr>
                <w:rFonts w:ascii="Calibri" w:hAnsi="Calibri" w:eastAsia="Calibri"/>
                <w:b w:val="0"/>
                <w:i w:val="0"/>
                <w:color w:val="222222"/>
                <w:sz w:val="18"/>
              </w:rPr>
              <w:t>7:157 test vs proposed proofs — living snapshot</w:t>
            </w:r>
          </w:p>
        </w:tc>
      </w:tr>
    </w:tbl>
    <w:p/>
    <w:p>
      <w:pPr>
        <w:spacing w:after="160"/>
      </w:pPr>
      <w:r>
        <w:rPr>
          <w:rFonts w:ascii="Calibri" w:hAnsi="Calibri" w:eastAsia="Calibri"/>
          <w:b w:val="0"/>
          <w:i w:val="0"/>
          <w:color w:val="222222"/>
          <w:sz w:val="22"/>
        </w:rPr>
        <w:t>Canonical next remains S008 8:1 unless told otherwise. 61:6 still parked.</w:t>
      </w:r>
    </w:p>
    <w:sectPr w:rsidR="00FC693F" w:rsidRPr="0006063C" w:rsidSect="00034616">
      <w:headerReference w:type="default" r:id="rId9"/>
      <w:footerReference w:type="default" r:id="rId10"/>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Calibri" w:hAnsi="Calibri" w:eastAsia="Calibri"/>
        <w:b w:val="0"/>
        <w:i w:val="0"/>
        <w:color w:val="8A6D3B"/>
        <w:sz w:val="18"/>
      </w:rPr>
      <w:t xml:space="preserve">LibreOffice OOXML  ·  living snapshot  ·  Page </w:t>
    </w:r>
    <w:r>
      <w:fldChar w:fldCharType="begin"/>
    </w:r>
    <w:r>
      <w:instrText xml:space="preserve"> PAGE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eastAsia="Calibri"/>
        <w:b w:val="0"/>
        <w:i/>
        <w:color w:val="8A6D3B"/>
        <w:sz w:val="18"/>
      </w:rPr>
      <w:t>Quran Research Project  ·  FROZEN v1.0  ·  Is Muhammad written in Torah and Gospel?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 Muhammad written in Torah and Gospel?</dc:title>
  <dc:subject/>
  <dc:creator>Quran Research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