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THE DIATESSARON</w:t>
      </w:r>
    </w:p>
    <w:p>
      <w:pPr>
        <w:spacing w:after="40"/>
      </w:pPr>
      <w:r>
        <w:rPr>
          <w:rFonts w:ascii="Calibri" w:hAnsi="Calibri" w:eastAsia="Calibri"/>
          <w:b/>
          <w:i w:val="0"/>
          <w:color w:val="1B3A4B"/>
          <w:sz w:val="22"/>
        </w:rPr>
        <w:t xml:space="preserve">Pair with: </w:t>
      </w:r>
      <w:r>
        <w:rPr>
          <w:rFonts w:ascii="Calibri" w:hAnsi="Calibri" w:eastAsia="Calibri"/>
          <w:b w:val="0"/>
          <w:i w:val="0"/>
          <w:color w:val="222222"/>
          <w:sz w:val="22"/>
        </w:rPr>
        <w:t>Investigation_Tawrat_Injil_7_157.docx</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QDISC-0374–0378; QB-0216–0219</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What it is</w:t>
      </w:r>
    </w:p>
    <w:p>
      <w:pPr>
        <w:spacing w:after="160"/>
      </w:pPr>
      <w:r>
        <w:rPr>
          <w:rFonts w:ascii="Calibri" w:hAnsi="Calibri" w:eastAsia="Calibri"/>
          <w:b w:val="0"/>
          <w:i w:val="0"/>
          <w:color w:val="222222"/>
          <w:sz w:val="22"/>
        </w:rPr>
        <w:t>Greek title: dia tessarōn — through the four. Syriac name in the churches that used it: ewangeliyon da-mḥallṭē, the Gospel of the Mixed, set against ewangeliyon da-mparršē, the Gospel of the Separated (the four read apart).</w:t>
      </w:r>
    </w:p>
    <w:p>
      <w:pPr>
        <w:spacing w:after="160"/>
      </w:pPr>
      <w:r>
        <w:rPr>
          <w:rFonts w:ascii="Calibri" w:hAnsi="Calibri" w:eastAsia="Calibri"/>
          <w:b w:val="0"/>
          <w:i w:val="0"/>
          <w:color w:val="222222"/>
          <w:sz w:val="22"/>
        </w:rPr>
        <w:t>Compiler: Tatian, a second-century Assyrian/Syrian Christian, pupil of Justin Martyr, author of an Oration to the Greeks. Date: mid-to-late second century. Language of first composition is disputed (Syriac or Greek). What is not disputed: the work weaves Matthew, Mark, Luke, and John into one running life of Jesus.</w:t>
      </w:r>
    </w:p>
    <w:p>
      <w:pPr>
        <w:spacing w:after="160"/>
      </w:pPr>
      <w:r>
        <w:rPr>
          <w:rFonts w:ascii="Calibri" w:hAnsi="Calibri" w:eastAsia="Calibri"/>
          <w:b w:val="0"/>
          <w:i w:val="0"/>
          <w:color w:val="222222"/>
          <w:sz w:val="22"/>
        </w:rPr>
        <w:t>It is not a fifth source. Studies of the Arabic harmony and of Codex Fuldensis show Tatian used the great majority of the four (on one count, on the order of three-quarters of their combined verses). Markan special material is present. Johannine prologue is present — later Syriac writers note that it began ‘In the beginning was the Word.’</w:t>
      </w:r>
    </w:p>
    <w:p>
      <w:pPr>
        <w:pStyle w:val="Heading1"/>
      </w:pPr>
      <w:r>
        <w:rPr>
          <w:rFonts w:ascii="Calibri" w:hAnsi="Calibri"/>
          <w:color w:val="1B3A4B"/>
        </w:rPr>
        <w:t>2. Why it matters for the Injil file</w:t>
      </w:r>
    </w:p>
    <w:p>
      <w:pPr>
        <w:spacing w:after="160"/>
      </w:pPr>
      <w:r>
        <w:rPr>
          <w:rFonts w:ascii="Calibri" w:hAnsi="Calibri" w:eastAsia="Calibri"/>
          <w:b w:val="0"/>
          <w:i w:val="0"/>
          <w:color w:val="222222"/>
          <w:sz w:val="22"/>
        </w:rPr>
        <w:t>The Quranic loanword injīl almost certainly entered Arabic from Christian Aramaic/Syriac ewangeliyon. In the Syriac churches of the late second through fifth centuries, the book one heard in church as ‘the Gospel’ was often this mixed singular, not four separate lections. Aphrahat cites gospel material in mixed form. Ephrem wrote a commentary on the Mixed Gospel (Syriac original recovered in Chester Beatty Syriac 709; also Armenian). The Teaching of Addai treats a Diatessaron-type gospel as the Edessene church’s book. Theodoret of Cyrrhus (5th c.) says he pulled more than two hundred copies from churches in his diocese and replaced them with the four separated gospels.</w:t>
      </w:r>
    </w:p>
    <w:p>
      <w:pPr>
        <w:spacing w:after="160"/>
      </w:pPr>
      <w:r>
        <w:rPr>
          <w:rFonts w:ascii="Calibri" w:hAnsi="Calibri" w:eastAsia="Calibri"/>
          <w:b w:val="0"/>
          <w:i w:val="0"/>
          <w:color w:val="222222"/>
          <w:sz w:val="22"/>
        </w:rPr>
        <w:t>So: a Christian in the Syriac orbit could honestly say ‘the Gospel’ in the singular and mean one bound narrative. That is the closest historical analogue to the Quran’s singular Injīl as a book-in-hand.</w:t>
      </w:r>
    </w:p>
    <w:p>
      <w:pPr>
        <w:pStyle w:val="Heading1"/>
      </w:pPr>
      <w:r>
        <w:rPr>
          <w:rFonts w:ascii="Calibri" w:hAnsi="Calibri"/>
          <w:color w:val="1B3A4B"/>
        </w:rPr>
        <w:t>3. What it does not do</w:t>
      </w:r>
    </w:p>
    <w:p>
      <w:pPr>
        <w:spacing w:after="160"/>
      </w:pPr>
      <w:r>
        <w:rPr>
          <w:rFonts w:ascii="Calibri" w:hAnsi="Calibri" w:eastAsia="Calibri"/>
          <w:b w:val="0"/>
          <w:i w:val="0"/>
          <w:color w:val="222222"/>
          <w:sz w:val="22"/>
        </w:rPr>
        <w:t>It does not become a book given to Jesus. Tatian compiled it a century and more after Jesus. It is still a life of Jesus written about him, not a kitāb sent down to him to recite.</w:t>
      </w:r>
    </w:p>
    <w:p>
      <w:pPr>
        <w:spacing w:after="160"/>
      </w:pPr>
      <w:r>
        <w:rPr>
          <w:rFonts w:ascii="Calibri" w:hAnsi="Calibri" w:eastAsia="Calibri"/>
          <w:b w:val="0"/>
          <w:i w:val="0"/>
          <w:color w:val="222222"/>
          <w:sz w:val="22"/>
        </w:rPr>
        <w:t>It does not omit the passion and resurrection to match 4:157. The Dura Europos fragment (before 256 CE), widely taken as Diatessaronic, is a crucifixion-and-burial weave from the four. Ephrem comments the passion. The Arabic Diatessaron (11th c. translation from Syriac, already assimilated toward the Peshitta) still runs arrest, trial, crucifixion, burial, empty tomb. A singular Gospel in Syriac is not a non-crucifixion Gospel.</w:t>
      </w:r>
    </w:p>
    <w:p>
      <w:pPr>
        <w:spacing w:after="160"/>
      </w:pPr>
      <w:r>
        <w:rPr>
          <w:rFonts w:ascii="Calibri" w:hAnsi="Calibri" w:eastAsia="Calibri"/>
          <w:b w:val="0"/>
          <w:i w:val="0"/>
          <w:color w:val="222222"/>
          <w:sz w:val="22"/>
        </w:rPr>
        <w:t>It does not contain a named finding of Muhammad. It is the four, reordered. 7:157’s written-finding problem is not solved by mixing the same four into one volume.</w:t>
      </w:r>
    </w:p>
    <w:p>
      <w:pPr>
        <w:spacing w:after="160"/>
      </w:pPr>
      <w:r>
        <w:rPr>
          <w:rFonts w:ascii="Calibri" w:hAnsi="Calibri" w:eastAsia="Calibri"/>
          <w:b w:val="0"/>
          <w:i w:val="0"/>
          <w:color w:val="222222"/>
          <w:sz w:val="22"/>
        </w:rPr>
        <w:t>It was not the only gospel book in Arabia. By the seventh century the Peshitta four-gospel set was the standard Syriac Bible. Theodoret’s confiscations show the Mixed form was already being retired in the fifth century in some sees. What a given Najrānī or Ḥīran Christian held in 610 is not recoverable as ‘always the Diatessaron.’</w:t>
      </w:r>
    </w:p>
    <w:p>
      <w:pPr>
        <w:pStyle w:val="Heading1"/>
      </w:pPr>
      <w:r>
        <w:rPr>
          <w:rFonts w:ascii="Calibri" w:hAnsi="Calibri"/>
          <w:color w:val="1B3A4B"/>
        </w:rPr>
        <w:t>4. Table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B3A4B" w:val="clear"/>
          </w:tcPr>
          <w:p>
            <w:r/>
            <w:r>
              <w:rPr>
                <w:rFonts w:ascii="Calibri" w:hAnsi="Calibri" w:eastAsia="Calibri"/>
                <w:b/>
                <w:i w:val="0"/>
                <w:color w:val="FFFFFF"/>
                <w:sz w:val="18"/>
              </w:rPr>
              <w:t>Slot</w:t>
            </w:r>
          </w:p>
        </w:tc>
        <w:tc>
          <w:tcPr>
            <w:tcW w:type="dxa" w:w="2448"/>
            <w:shd w:fill="1B3A4B" w:val="clear"/>
          </w:tcPr>
          <w:p>
            <w:r/>
            <w:r>
              <w:rPr>
                <w:rFonts w:ascii="Calibri" w:hAnsi="Calibri" w:eastAsia="Calibri"/>
                <w:b/>
                <w:i w:val="0"/>
                <w:color w:val="FFFFFF"/>
                <w:sz w:val="18"/>
              </w:rPr>
              <w:t>Quranic Injil (5:46 / 7:157)</w:t>
            </w:r>
          </w:p>
        </w:tc>
        <w:tc>
          <w:tcPr>
            <w:tcW w:type="dxa" w:w="2448"/>
            <w:shd w:fill="1B3A4B" w:val="clear"/>
          </w:tcPr>
          <w:p>
            <w:r/>
            <w:r>
              <w:rPr>
                <w:rFonts w:ascii="Calibri" w:hAnsi="Calibri" w:eastAsia="Calibri"/>
                <w:b/>
                <w:i w:val="0"/>
                <w:color w:val="FFFFFF"/>
                <w:sz w:val="18"/>
              </w:rPr>
              <w:t>Diatessaron</w:t>
            </w:r>
          </w:p>
        </w:tc>
        <w:tc>
          <w:tcPr>
            <w:tcW w:type="dxa" w:w="2448"/>
            <w:shd w:fill="1B3A4B" w:val="clear"/>
          </w:tcPr>
          <w:p>
            <w:r/>
            <w:r>
              <w:rPr>
                <w:rFonts w:ascii="Calibri" w:hAnsi="Calibri" w:eastAsia="Calibri"/>
                <w:b/>
                <w:i w:val="0"/>
                <w:color w:val="FFFFFF"/>
                <w:sz w:val="18"/>
              </w:rPr>
              <w:t>Four separated Gospels</w:t>
            </w:r>
          </w:p>
        </w:tc>
      </w:tr>
      <w:tr>
        <w:tc>
          <w:tcPr>
            <w:tcW w:type="dxa" w:w="2448"/>
          </w:tcPr>
          <w:p>
            <w:r/>
            <w:r>
              <w:rPr>
                <w:rFonts w:ascii="Calibri" w:hAnsi="Calibri" w:eastAsia="Calibri"/>
                <w:b w:val="0"/>
                <w:i w:val="0"/>
                <w:color w:val="222222"/>
                <w:sz w:val="18"/>
              </w:rPr>
              <w:t>Number</w:t>
            </w:r>
          </w:p>
        </w:tc>
        <w:tc>
          <w:tcPr>
            <w:tcW w:type="dxa" w:w="2448"/>
          </w:tcPr>
          <w:p>
            <w:r/>
            <w:r>
              <w:rPr>
                <w:rFonts w:ascii="Calibri" w:hAnsi="Calibri" w:eastAsia="Calibri"/>
                <w:b w:val="0"/>
                <w:i w:val="0"/>
                <w:color w:val="222222"/>
                <w:sz w:val="18"/>
              </w:rPr>
              <w:t>Singular.</w:t>
            </w:r>
          </w:p>
        </w:tc>
        <w:tc>
          <w:tcPr>
            <w:tcW w:type="dxa" w:w="2448"/>
          </w:tcPr>
          <w:p>
            <w:r/>
            <w:r>
              <w:rPr>
                <w:rFonts w:ascii="Calibri" w:hAnsi="Calibri" w:eastAsia="Calibri"/>
                <w:b w:val="0"/>
                <w:i w:val="0"/>
                <w:color w:val="222222"/>
                <w:sz w:val="18"/>
              </w:rPr>
              <w:t>Singular in use ('Gospel of the Mixed').</w:t>
            </w:r>
          </w:p>
        </w:tc>
        <w:tc>
          <w:tcPr>
            <w:tcW w:type="dxa" w:w="2448"/>
          </w:tcPr>
          <w:p>
            <w:r/>
            <w:r>
              <w:rPr>
                <w:rFonts w:ascii="Calibri" w:hAnsi="Calibri" w:eastAsia="Calibri"/>
                <w:b w:val="0"/>
                <w:i w:val="0"/>
                <w:color w:val="222222"/>
                <w:sz w:val="18"/>
              </w:rPr>
              <w:t>Four books.</w:t>
            </w:r>
          </w:p>
        </w:tc>
      </w:tr>
      <w:tr>
        <w:tc>
          <w:tcPr>
            <w:tcW w:type="dxa" w:w="2448"/>
            <w:shd w:fill="F4F1EA" w:val="clear"/>
          </w:tcPr>
          <w:p>
            <w:r/>
            <w:r>
              <w:rPr>
                <w:rFonts w:ascii="Calibri" w:hAnsi="Calibri" w:eastAsia="Calibri"/>
                <w:b w:val="0"/>
                <w:i w:val="0"/>
                <w:color w:val="222222"/>
                <w:sz w:val="18"/>
              </w:rPr>
              <w:t>Given to Jesus?</w:t>
            </w:r>
          </w:p>
        </w:tc>
        <w:tc>
          <w:tcPr>
            <w:tcW w:type="dxa" w:w="2448"/>
            <w:shd w:fill="F4F1EA" w:val="clear"/>
          </w:tcPr>
          <w:p>
            <w:r/>
            <w:r>
              <w:rPr>
                <w:rFonts w:ascii="Calibri" w:hAnsi="Calibri" w:eastAsia="Calibri"/>
                <w:b w:val="0"/>
                <w:i w:val="0"/>
                <w:color w:val="222222"/>
                <w:sz w:val="18"/>
              </w:rPr>
              <w:t>Yes, in Quranic diction.</w:t>
            </w:r>
          </w:p>
        </w:tc>
        <w:tc>
          <w:tcPr>
            <w:tcW w:type="dxa" w:w="2448"/>
            <w:shd w:fill="F4F1EA" w:val="clear"/>
          </w:tcPr>
          <w:p>
            <w:r/>
            <w:r>
              <w:rPr>
                <w:rFonts w:ascii="Calibri" w:hAnsi="Calibri" w:eastAsia="Calibri"/>
                <w:b w:val="0"/>
                <w:i w:val="0"/>
                <w:color w:val="222222"/>
                <w:sz w:val="18"/>
              </w:rPr>
              <w:t>No. Tatian, 2nd c.</w:t>
            </w:r>
          </w:p>
        </w:tc>
        <w:tc>
          <w:tcPr>
            <w:tcW w:type="dxa" w:w="2448"/>
            <w:shd w:fill="F4F1EA" w:val="clear"/>
          </w:tcPr>
          <w:p>
            <w:r/>
            <w:r>
              <w:rPr>
                <w:rFonts w:ascii="Calibri" w:hAnsi="Calibri" w:eastAsia="Calibri"/>
                <w:b w:val="0"/>
                <w:i w:val="0"/>
                <w:color w:val="222222"/>
                <w:sz w:val="18"/>
              </w:rPr>
              <w:t>No. Later authors.</w:t>
            </w:r>
          </w:p>
        </w:tc>
      </w:tr>
      <w:tr>
        <w:tc>
          <w:tcPr>
            <w:tcW w:type="dxa" w:w="2448"/>
          </w:tcPr>
          <w:p>
            <w:r/>
            <w:r>
              <w:rPr>
                <w:rFonts w:ascii="Calibri" w:hAnsi="Calibri" w:eastAsia="Calibri"/>
                <w:b w:val="0"/>
                <w:i w:val="0"/>
                <w:color w:val="222222"/>
                <w:sz w:val="18"/>
              </w:rPr>
              <w:t>Contents base</w:t>
            </w:r>
          </w:p>
        </w:tc>
        <w:tc>
          <w:tcPr>
            <w:tcW w:type="dxa" w:w="2448"/>
          </w:tcPr>
          <w:p>
            <w:r/>
            <w:r>
              <w:rPr>
                <w:rFonts w:ascii="Calibri" w:hAnsi="Calibri" w:eastAsia="Calibri"/>
                <w:b w:val="0"/>
                <w:i w:val="0"/>
                <w:color w:val="222222"/>
                <w:sz w:val="18"/>
              </w:rPr>
              <w:t>Unstated beyond light, Tawrat-confirmation, a finding.</w:t>
            </w:r>
          </w:p>
        </w:tc>
        <w:tc>
          <w:tcPr>
            <w:tcW w:type="dxa" w:w="2448"/>
          </w:tcPr>
          <w:p>
            <w:r/>
            <w:r>
              <w:rPr>
                <w:rFonts w:ascii="Calibri" w:hAnsi="Calibri" w:eastAsia="Calibri"/>
                <w:b w:val="0"/>
                <w:i w:val="0"/>
                <w:color w:val="222222"/>
                <w:sz w:val="18"/>
              </w:rPr>
              <w:t>Matthew + Mark + Luke + John woven.</w:t>
            </w:r>
          </w:p>
        </w:tc>
        <w:tc>
          <w:tcPr>
            <w:tcW w:type="dxa" w:w="2448"/>
          </w:tcPr>
          <w:p>
            <w:r/>
            <w:r>
              <w:rPr>
                <w:rFonts w:ascii="Calibri" w:hAnsi="Calibri" w:eastAsia="Calibri"/>
                <w:b w:val="0"/>
                <w:i w:val="0"/>
                <w:color w:val="222222"/>
                <w:sz w:val="18"/>
              </w:rPr>
              <w:t>Same four, unmixed.</w:t>
            </w:r>
          </w:p>
        </w:tc>
      </w:tr>
      <w:tr>
        <w:tc>
          <w:tcPr>
            <w:tcW w:type="dxa" w:w="2448"/>
            <w:shd w:fill="F4F1EA" w:val="clear"/>
          </w:tcPr>
          <w:p>
            <w:r/>
            <w:r>
              <w:rPr>
                <w:rFonts w:ascii="Calibri" w:hAnsi="Calibri" w:eastAsia="Calibri"/>
                <w:b w:val="0"/>
                <w:i w:val="0"/>
                <w:color w:val="222222"/>
                <w:sz w:val="18"/>
              </w:rPr>
              <w:t>Passion</w:t>
            </w:r>
          </w:p>
        </w:tc>
        <w:tc>
          <w:tcPr>
            <w:tcW w:type="dxa" w:w="2448"/>
            <w:shd w:fill="F4F1EA" w:val="clear"/>
          </w:tcPr>
          <w:p>
            <w:r/>
            <w:r>
              <w:rPr>
                <w:rFonts w:ascii="Calibri" w:hAnsi="Calibri" w:eastAsia="Calibri"/>
                <w:b w:val="0"/>
                <w:i w:val="0"/>
                <w:color w:val="222222"/>
                <w:sz w:val="18"/>
              </w:rPr>
              <w:t>Quranic Jesus-file elsewhere denies they killed/crucified him (4:157).</w:t>
            </w:r>
          </w:p>
        </w:tc>
        <w:tc>
          <w:tcPr>
            <w:tcW w:type="dxa" w:w="2448"/>
            <w:shd w:fill="F4F1EA" w:val="clear"/>
          </w:tcPr>
          <w:p>
            <w:r/>
            <w:r>
              <w:rPr>
                <w:rFonts w:ascii="Calibri" w:hAnsi="Calibri" w:eastAsia="Calibri"/>
                <w:b w:val="0"/>
                <w:i w:val="0"/>
                <w:color w:val="222222"/>
                <w:sz w:val="18"/>
              </w:rPr>
              <w:t>Present (Dura; Ephrem; Arabic).</w:t>
            </w:r>
          </w:p>
        </w:tc>
        <w:tc>
          <w:tcPr>
            <w:tcW w:type="dxa" w:w="2448"/>
            <w:shd w:fill="F4F1EA" w:val="clear"/>
          </w:tcPr>
          <w:p>
            <w:r/>
            <w:r>
              <w:rPr>
                <w:rFonts w:ascii="Calibri" w:hAnsi="Calibri" w:eastAsia="Calibri"/>
                <w:b w:val="0"/>
                <w:i w:val="0"/>
                <w:color w:val="222222"/>
                <w:sz w:val="18"/>
              </w:rPr>
              <w:t>Present.</w:t>
            </w:r>
          </w:p>
        </w:tc>
      </w:tr>
      <w:tr>
        <w:tc>
          <w:tcPr>
            <w:tcW w:type="dxa" w:w="2448"/>
          </w:tcPr>
          <w:p>
            <w:r/>
            <w:r>
              <w:rPr>
                <w:rFonts w:ascii="Calibri" w:hAnsi="Calibri" w:eastAsia="Calibri"/>
                <w:b w:val="0"/>
                <w:i w:val="0"/>
                <w:color w:val="222222"/>
                <w:sz w:val="18"/>
              </w:rPr>
              <w:t>Syriac name</w:t>
            </w:r>
          </w:p>
        </w:tc>
        <w:tc>
          <w:tcPr>
            <w:tcW w:type="dxa" w:w="2448"/>
          </w:tcPr>
          <w:p>
            <w:r/>
            <w:r>
              <w:rPr>
                <w:rFonts w:ascii="Calibri" w:hAnsi="Calibri" w:eastAsia="Calibri"/>
                <w:b w:val="0"/>
                <w:i w:val="0"/>
                <w:color w:val="222222"/>
                <w:sz w:val="18"/>
              </w:rPr>
              <w:t>injil &lt; ewangeliyon.</w:t>
            </w:r>
          </w:p>
        </w:tc>
        <w:tc>
          <w:tcPr>
            <w:tcW w:type="dxa" w:w="2448"/>
          </w:tcPr>
          <w:p>
            <w:r/>
            <w:r>
              <w:rPr>
                <w:rFonts w:ascii="Calibri" w:hAnsi="Calibri" w:eastAsia="Calibri"/>
                <w:b w:val="0"/>
                <w:i w:val="0"/>
                <w:color w:val="222222"/>
                <w:sz w:val="18"/>
              </w:rPr>
              <w:t>ewangeliyon da-mhallte.</w:t>
            </w:r>
          </w:p>
        </w:tc>
        <w:tc>
          <w:tcPr>
            <w:tcW w:type="dxa" w:w="2448"/>
          </w:tcPr>
          <w:p>
            <w:r/>
            <w:r>
              <w:rPr>
                <w:rFonts w:ascii="Calibri" w:hAnsi="Calibri" w:eastAsia="Calibri"/>
                <w:b w:val="0"/>
                <w:i w:val="0"/>
                <w:color w:val="222222"/>
                <w:sz w:val="18"/>
              </w:rPr>
              <w:t>ewangeliyon da-mparrse.</w:t>
            </w:r>
          </w:p>
        </w:tc>
      </w:tr>
      <w:tr>
        <w:tc>
          <w:tcPr>
            <w:tcW w:type="dxa" w:w="2448"/>
            <w:shd w:fill="F4F1EA" w:val="clear"/>
          </w:tcPr>
          <w:p>
            <w:r/>
            <w:r>
              <w:rPr>
                <w:rFonts w:ascii="Calibri" w:hAnsi="Calibri" w:eastAsia="Calibri"/>
                <w:b w:val="0"/>
                <w:i w:val="0"/>
                <w:color w:val="222222"/>
                <w:sz w:val="18"/>
              </w:rPr>
              <w:t>7th-c. likelihood</w:t>
            </w:r>
          </w:p>
        </w:tc>
        <w:tc>
          <w:tcPr>
            <w:tcW w:type="dxa" w:w="2448"/>
            <w:shd w:fill="F4F1EA" w:val="clear"/>
          </w:tcPr>
          <w:p>
            <w:r/>
            <w:r>
              <w:rPr>
                <w:rFonts w:ascii="Calibri" w:hAnsi="Calibri" w:eastAsia="Calibri"/>
                <w:b w:val="0"/>
                <w:i w:val="0"/>
                <w:color w:val="222222"/>
                <w:sz w:val="18"/>
              </w:rPr>
              <w:t>Ahl al-Injil have a book they can judge by.</w:t>
            </w:r>
          </w:p>
        </w:tc>
        <w:tc>
          <w:tcPr>
            <w:tcW w:type="dxa" w:w="2448"/>
            <w:shd w:fill="F4F1EA" w:val="clear"/>
          </w:tcPr>
          <w:p>
            <w:r/>
            <w:r>
              <w:rPr>
                <w:rFonts w:ascii="Calibri" w:hAnsi="Calibri" w:eastAsia="Calibri"/>
                <w:b w:val="0"/>
                <w:i w:val="0"/>
                <w:color w:val="222222"/>
                <w:sz w:val="18"/>
              </w:rPr>
              <w:t>Possible remnant; not demonstrably the default.</w:t>
            </w:r>
          </w:p>
        </w:tc>
        <w:tc>
          <w:tcPr>
            <w:tcW w:type="dxa" w:w="2448"/>
            <w:shd w:fill="F4F1EA" w:val="clear"/>
          </w:tcPr>
          <w:p>
            <w:r/>
            <w:r>
              <w:rPr>
                <w:rFonts w:ascii="Calibri" w:hAnsi="Calibri" w:eastAsia="Calibri"/>
                <w:b w:val="0"/>
                <w:i w:val="0"/>
                <w:color w:val="222222"/>
                <w:sz w:val="18"/>
              </w:rPr>
              <w:t>Peshitta four is the known default.</w:t>
            </w:r>
          </w:p>
        </w:tc>
      </w:tr>
    </w:tbl>
    <w:p/>
    <w:p>
      <w:pPr>
        <w:pStyle w:val="Heading1"/>
      </w:pPr>
      <w:r>
        <w:rPr>
          <w:rFonts w:ascii="Calibri" w:hAnsi="Calibri"/>
          <w:color w:val="1B3A4B"/>
        </w:rPr>
        <w:t>5. Calls</w:t>
      </w:r>
    </w:p>
    <w:p>
      <w:pPr>
        <w:spacing w:after="160"/>
      </w:pPr>
      <w:r>
        <w:rPr>
          <w:rFonts w:ascii="Calibri" w:hAnsi="Calibri" w:eastAsia="Calibri"/>
          <w:b w:val="0"/>
          <w:i w:val="0"/>
          <w:color w:val="222222"/>
          <w:sz w:val="22"/>
        </w:rPr>
        <w:t>QB-0216 PARTIAL AGREEMENT of number: a singular ‘Gospel’ was a real church book in the Syriac world that supplied the loanword.</w:t>
      </w:r>
    </w:p>
    <w:p>
      <w:pPr>
        <w:spacing w:after="160"/>
      </w:pPr>
      <w:r>
        <w:rPr>
          <w:rFonts w:ascii="Calibri" w:hAnsi="Calibri" w:eastAsia="Calibri"/>
          <w:b w:val="0"/>
          <w:i w:val="0"/>
          <w:color w:val="222222"/>
          <w:sz w:val="22"/>
        </w:rPr>
        <w:t>QB-0217 CONTRAST of origin: compiled by Tatian from four already-written lives, not given to Jesus.</w:t>
      </w:r>
    </w:p>
    <w:p>
      <w:pPr>
        <w:spacing w:after="160"/>
      </w:pPr>
      <w:r>
        <w:rPr>
          <w:rFonts w:ascii="Calibri" w:hAnsi="Calibri" w:eastAsia="Calibri"/>
          <w:b w:val="0"/>
          <w:i w:val="0"/>
          <w:color w:val="222222"/>
          <w:sz w:val="22"/>
        </w:rPr>
        <w:t>QB-0218 CONTRAST of passion-content with 4:157. Mixing the four does not delete the cross.</w:t>
      </w:r>
    </w:p>
    <w:p>
      <w:pPr>
        <w:spacing w:after="160"/>
      </w:pPr>
      <w:r>
        <w:rPr>
          <w:rFonts w:ascii="Calibri" w:hAnsi="Calibri" w:eastAsia="Calibri"/>
          <w:b w:val="0"/>
          <w:i w:val="0"/>
          <w:color w:val="222222"/>
          <w:sz w:val="22"/>
        </w:rPr>
        <w:t>QB-0219 Does not supply the 7:157 named finding. Same four texts, one spine.</w:t>
      </w:r>
    </w:p>
    <w:p>
      <w:pPr>
        <w:pStyle w:val="Heading1"/>
      </w:pPr>
      <w:r>
        <w:rPr>
          <w:rFonts w:ascii="Calibri" w:hAnsi="Calibri"/>
          <w:color w:val="1B3A4B"/>
        </w:rPr>
        <w:t>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QDISC-0374</w:t>
            </w:r>
          </w:p>
        </w:tc>
        <w:tc>
          <w:tcPr>
            <w:tcW w:type="dxa" w:w="4896"/>
          </w:tcPr>
          <w:p>
            <w:r/>
            <w:r>
              <w:rPr>
                <w:rFonts w:ascii="Calibri" w:hAnsi="Calibri" w:eastAsia="Calibri"/>
                <w:b w:val="0"/>
                <w:i w:val="0"/>
                <w:color w:val="222222"/>
                <w:sz w:val="18"/>
              </w:rPr>
              <w:t>Diatessaron = Gospel of the Mixed; four woven into one</w:t>
            </w:r>
          </w:p>
        </w:tc>
      </w:tr>
      <w:tr>
        <w:tc>
          <w:tcPr>
            <w:tcW w:type="dxa" w:w="4896"/>
            <w:shd w:fill="F4F1EA" w:val="clear"/>
          </w:tcPr>
          <w:p>
            <w:r/>
            <w:r>
              <w:rPr>
                <w:rFonts w:ascii="Calibri" w:hAnsi="Calibri" w:eastAsia="Calibri"/>
                <w:b w:val="0"/>
                <w:i w:val="0"/>
                <w:color w:val="222222"/>
                <w:sz w:val="18"/>
              </w:rPr>
              <w:t>QDISC-0375</w:t>
            </w:r>
          </w:p>
        </w:tc>
        <w:tc>
          <w:tcPr>
            <w:tcW w:type="dxa" w:w="4896"/>
            <w:shd w:fill="F4F1EA" w:val="clear"/>
          </w:tcPr>
          <w:p>
            <w:r/>
            <w:r>
              <w:rPr>
                <w:rFonts w:ascii="Calibri" w:hAnsi="Calibri" w:eastAsia="Calibri"/>
                <w:b w:val="0"/>
                <w:i w:val="0"/>
                <w:color w:val="222222"/>
                <w:sz w:val="18"/>
              </w:rPr>
              <w:t>Liturgical Gospel in parts of the Syriac church, 2nd–5th c.</w:t>
            </w:r>
          </w:p>
        </w:tc>
      </w:tr>
      <w:tr>
        <w:tc>
          <w:tcPr>
            <w:tcW w:type="dxa" w:w="4896"/>
          </w:tcPr>
          <w:p>
            <w:r/>
            <w:r>
              <w:rPr>
                <w:rFonts w:ascii="Calibri" w:hAnsi="Calibri" w:eastAsia="Calibri"/>
                <w:b w:val="0"/>
                <w:i w:val="0"/>
                <w:color w:val="222222"/>
                <w:sz w:val="18"/>
              </w:rPr>
              <w:t>QDISC-0376</w:t>
            </w:r>
          </w:p>
        </w:tc>
        <w:tc>
          <w:tcPr>
            <w:tcW w:type="dxa" w:w="4896"/>
          </w:tcPr>
          <w:p>
            <w:r/>
            <w:r>
              <w:rPr>
                <w:rFonts w:ascii="Calibri" w:hAnsi="Calibri" w:eastAsia="Calibri"/>
                <w:b w:val="0"/>
                <w:i w:val="0"/>
                <w:color w:val="222222"/>
                <w:sz w:val="18"/>
              </w:rPr>
              <w:t>Passion and resurrection remain in Dura / Ephrem / Arabic</w:t>
            </w:r>
          </w:p>
        </w:tc>
      </w:tr>
      <w:tr>
        <w:tc>
          <w:tcPr>
            <w:tcW w:type="dxa" w:w="4896"/>
            <w:shd w:fill="F4F1EA" w:val="clear"/>
          </w:tcPr>
          <w:p>
            <w:r/>
            <w:r>
              <w:rPr>
                <w:rFonts w:ascii="Calibri" w:hAnsi="Calibri" w:eastAsia="Calibri"/>
                <w:b w:val="0"/>
                <w:i w:val="0"/>
                <w:color w:val="222222"/>
                <w:sz w:val="18"/>
              </w:rPr>
              <w:t>QDISC-0377</w:t>
            </w:r>
          </w:p>
        </w:tc>
        <w:tc>
          <w:tcPr>
            <w:tcW w:type="dxa" w:w="4896"/>
            <w:shd w:fill="F4F1EA" w:val="clear"/>
          </w:tcPr>
          <w:p>
            <w:r/>
            <w:r>
              <w:rPr>
                <w:rFonts w:ascii="Calibri" w:hAnsi="Calibri" w:eastAsia="Calibri"/>
                <w:b w:val="0"/>
                <w:i w:val="0"/>
                <w:color w:val="222222"/>
                <w:sz w:val="18"/>
              </w:rPr>
              <w:t>Not a Jesus-given kitab; Tatian is the compiler</w:t>
            </w:r>
          </w:p>
        </w:tc>
      </w:tr>
      <w:tr>
        <w:tc>
          <w:tcPr>
            <w:tcW w:type="dxa" w:w="4896"/>
          </w:tcPr>
          <w:p>
            <w:r/>
            <w:r>
              <w:rPr>
                <w:rFonts w:ascii="Calibri" w:hAnsi="Calibri" w:eastAsia="Calibri"/>
                <w:b w:val="0"/>
                <w:i w:val="0"/>
                <w:color w:val="222222"/>
                <w:sz w:val="18"/>
              </w:rPr>
              <w:t>QDISC-0378</w:t>
            </w:r>
          </w:p>
        </w:tc>
        <w:tc>
          <w:tcPr>
            <w:tcW w:type="dxa" w:w="4896"/>
          </w:tcPr>
          <w:p>
            <w:r/>
            <w:r>
              <w:rPr>
                <w:rFonts w:ascii="Calibri" w:hAnsi="Calibri" w:eastAsia="Calibri"/>
                <w:b w:val="0"/>
                <w:i w:val="0"/>
                <w:color w:val="222222"/>
                <w:sz w:val="18"/>
              </w:rPr>
              <w:t>By the 7th c. the Peshitta four is the known Syriac default</w:t>
            </w:r>
          </w:p>
        </w:tc>
      </w:tr>
      <w:tr>
        <w:tc>
          <w:tcPr>
            <w:tcW w:type="dxa" w:w="4896"/>
            <w:shd w:fill="F4F1EA" w:val="clear"/>
          </w:tcPr>
          <w:p>
            <w:r/>
            <w:r>
              <w:rPr>
                <w:rFonts w:ascii="Calibri" w:hAnsi="Calibri" w:eastAsia="Calibri"/>
                <w:b w:val="0"/>
                <w:i w:val="0"/>
                <w:color w:val="222222"/>
                <w:sz w:val="18"/>
              </w:rPr>
              <w:t>QB-0216</w:t>
            </w:r>
          </w:p>
        </w:tc>
        <w:tc>
          <w:tcPr>
            <w:tcW w:type="dxa" w:w="4896"/>
            <w:shd w:fill="F4F1EA" w:val="clear"/>
          </w:tcPr>
          <w:p>
            <w:r/>
            <w:r>
              <w:rPr>
                <w:rFonts w:ascii="Calibri" w:hAnsi="Calibri" w:eastAsia="Calibri"/>
                <w:b w:val="0"/>
                <w:i w:val="0"/>
                <w:color w:val="222222"/>
                <w:sz w:val="18"/>
              </w:rPr>
              <w:t>Singular Gospel in Syriac use — PARTIAL AGREEMENT of number</w:t>
            </w:r>
          </w:p>
        </w:tc>
      </w:tr>
      <w:tr>
        <w:tc>
          <w:tcPr>
            <w:tcW w:type="dxa" w:w="4896"/>
          </w:tcPr>
          <w:p>
            <w:r/>
            <w:r>
              <w:rPr>
                <w:rFonts w:ascii="Calibri" w:hAnsi="Calibri" w:eastAsia="Calibri"/>
                <w:b w:val="0"/>
                <w:i w:val="0"/>
                <w:color w:val="222222"/>
                <w:sz w:val="18"/>
              </w:rPr>
              <w:t>QB-0217</w:t>
            </w:r>
          </w:p>
        </w:tc>
        <w:tc>
          <w:tcPr>
            <w:tcW w:type="dxa" w:w="4896"/>
          </w:tcPr>
          <w:p>
            <w:r/>
            <w:r>
              <w:rPr>
                <w:rFonts w:ascii="Calibri" w:hAnsi="Calibri" w:eastAsia="Calibri"/>
                <w:b w:val="0"/>
                <w:i w:val="0"/>
                <w:color w:val="222222"/>
                <w:sz w:val="18"/>
              </w:rPr>
              <w:t>Origin CONTRAST with 5:46</w:t>
            </w:r>
          </w:p>
        </w:tc>
      </w:tr>
      <w:tr>
        <w:tc>
          <w:tcPr>
            <w:tcW w:type="dxa" w:w="4896"/>
            <w:shd w:fill="F4F1EA" w:val="clear"/>
          </w:tcPr>
          <w:p>
            <w:r/>
            <w:r>
              <w:rPr>
                <w:rFonts w:ascii="Calibri" w:hAnsi="Calibri" w:eastAsia="Calibri"/>
                <w:b w:val="0"/>
                <w:i w:val="0"/>
                <w:color w:val="222222"/>
                <w:sz w:val="18"/>
              </w:rPr>
              <w:t>QB-0218</w:t>
            </w:r>
          </w:p>
        </w:tc>
        <w:tc>
          <w:tcPr>
            <w:tcW w:type="dxa" w:w="4896"/>
            <w:shd w:fill="F4F1EA" w:val="clear"/>
          </w:tcPr>
          <w:p>
            <w:r/>
            <w:r>
              <w:rPr>
                <w:rFonts w:ascii="Calibri" w:hAnsi="Calibri" w:eastAsia="Calibri"/>
                <w:b w:val="0"/>
                <w:i w:val="0"/>
                <w:color w:val="222222"/>
                <w:sz w:val="18"/>
              </w:rPr>
              <w:t>Passion CONTRAST with 4:157</w:t>
            </w:r>
          </w:p>
        </w:tc>
      </w:tr>
      <w:tr>
        <w:tc>
          <w:tcPr>
            <w:tcW w:type="dxa" w:w="4896"/>
          </w:tcPr>
          <w:p>
            <w:r/>
            <w:r>
              <w:rPr>
                <w:rFonts w:ascii="Calibri" w:hAnsi="Calibri" w:eastAsia="Calibri"/>
                <w:b w:val="0"/>
                <w:i w:val="0"/>
                <w:color w:val="222222"/>
                <w:sz w:val="18"/>
              </w:rPr>
              <w:t>QB-0219</w:t>
            </w:r>
          </w:p>
        </w:tc>
        <w:tc>
          <w:tcPr>
            <w:tcW w:type="dxa" w:w="4896"/>
          </w:tcPr>
          <w:p>
            <w:r/>
            <w:r>
              <w:rPr>
                <w:rFonts w:ascii="Calibri" w:hAnsi="Calibri" w:eastAsia="Calibri"/>
                <w:b w:val="0"/>
                <w:i w:val="0"/>
                <w:color w:val="222222"/>
                <w:sz w:val="18"/>
              </w:rPr>
              <w:t>No 7:157 finding added by mixing</w:t>
            </w:r>
          </w:p>
        </w:tc>
      </w:tr>
    </w:tbl>
    <w:p/>
    <w:p>
      <w:pPr>
        <w:spacing w:after="160"/>
      </w:pPr>
      <w:r>
        <w:rPr>
          <w:rFonts w:ascii="Calibri" w:hAnsi="Calibri" w:eastAsia="Calibri"/>
          <w:b w:val="0"/>
          <w:i w:val="0"/>
          <w:color w:val="222222"/>
          <w:sz w:val="22"/>
        </w:rPr>
        <w:t>Canonical next remains 8:1.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The Diatessaron and the Injil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Diatessaron and the Injil</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