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THREE QUESTIONS — AUTHORITY BEYOND RECITATION, INTENT TO CONTINUE, HADITH RELIABILITY</w:t>
      </w:r>
    </w:p>
    <w:p>
      <w:pPr>
        <w:spacing w:after="40"/>
      </w:pPr>
      <w:r>
        <w:rPr>
          <w:rFonts w:ascii="Calibri" w:hAnsi="Calibri" w:eastAsia="Calibri"/>
          <w:b/>
          <w:i w:val="0"/>
          <w:color w:val="1B3A4B"/>
          <w:sz w:val="22"/>
        </w:rPr>
        <w:t xml:space="preserve">Pair with: </w:t>
      </w:r>
      <w:r>
        <w:rPr>
          <w:rFonts w:ascii="Calibri" w:hAnsi="Calibri" w:eastAsia="Calibri"/>
          <w:b w:val="0"/>
          <w:i w:val="0"/>
          <w:color w:val="222222"/>
          <w:sz w:val="22"/>
        </w:rPr>
        <w:t>Investigation_Obey_Messenger_After_Death.docx</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QDISC-0409–0414; QB-0239–0242</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spacing w:after="160"/>
      </w:pPr>
      <w:r>
        <w:rPr>
          <w:rFonts w:ascii="Calibri" w:hAnsi="Calibri" w:eastAsia="Calibri"/>
          <w:b w:val="0"/>
          <w:i w:val="0"/>
          <w:color w:val="222222"/>
          <w:sz w:val="22"/>
        </w:rPr>
        <w:t>These are not one question. The first can be asked of the walked Quran. The second asks for Muhammad’s intention after death — which the Quran does not narrate as a last will installing Sunnah. The third asks whether ninth-century collections reliably preserve a seventh-century practice. Answering the third by quoting those collections is circular.</w:t>
      </w:r>
    </w:p>
    <w:p>
      <w:pPr>
        <w:pStyle w:val="Heading1"/>
      </w:pPr>
      <w:r>
        <w:rPr>
          <w:rFonts w:ascii="Calibri" w:hAnsi="Calibri"/>
          <w:color w:val="1B3A4B"/>
        </w:rPr>
        <w:t>Q1. Did he possess authority beyond merely reciting the Quran?</w:t>
      </w:r>
    </w:p>
    <w:p>
      <w:pPr>
        <w:spacing w:after="160"/>
      </w:pPr>
      <w:r>
        <w:rPr>
          <w:rFonts w:ascii="Calibri" w:hAnsi="Calibri" w:eastAsia="Calibri"/>
          <w:b w:val="0"/>
          <w:i w:val="0"/>
          <w:color w:val="222222"/>
          <w:sz w:val="22"/>
        </w:rPr>
        <w:t>On the walked text: yes, while he lived.</w:t>
      </w:r>
    </w:p>
    <w:p>
      <w:pPr>
        <w:spacing w:after="160"/>
      </w:pPr>
      <w:r>
        <w:rPr>
          <w:rFonts w:ascii="Calibri" w:hAnsi="Calibri" w:eastAsia="Calibri"/>
          <w:b w:val="0"/>
          <w:i w:val="0"/>
          <w:color w:val="222222"/>
          <w:sz w:val="22"/>
        </w:rPr>
        <w:t>He is to be obeyed paired with God (3:32, 8:20). Obeying him is obeying God (4:80). No messenger was sent except to be obeyed (4:64). They do not believe until they make him judge in their disputes and feel no tightness at his decision (4:65). Anfāl belong to God and the Messenger (8:1). Respond when he calls to what gives you life (8:24). Do not turn from him while you hear (8:20).</w:t>
      </w:r>
    </w:p>
    <w:p>
      <w:pPr>
        <w:spacing w:after="160"/>
      </w:pPr>
      <w:r>
        <w:rPr>
          <w:rFonts w:ascii="Calibri" w:hAnsi="Calibri" w:eastAsia="Calibri"/>
          <w:b w:val="0"/>
          <w:i w:val="0"/>
          <w:color w:val="222222"/>
          <w:sz w:val="22"/>
        </w:rPr>
        <w:t>That is more than a mouthpiece who only vocalizes a text and then stands aside. He assigns, judges, calls, and is not to be turned from. 7:188 (walked) also limits him: he does not possess benefit or harm for himself; he does not know the unseen; he is a warner. Authority-beyond-recitation and creaturely limit sit on the same dossier.</w:t>
      </w:r>
    </w:p>
    <w:p>
      <w:pPr>
        <w:spacing w:after="160"/>
      </w:pPr>
      <w:r>
        <w:rPr>
          <w:rFonts w:ascii="Calibri" w:hAnsi="Calibri" w:eastAsia="Calibri"/>
          <w:b w:val="0"/>
          <w:i w:val="0"/>
          <w:color w:val="222222"/>
          <w:sz w:val="22"/>
        </w:rPr>
        <w:t>Parked thickeners: 33:36 (not for a believer to choose when God and His Messenger have decided); 59:7 (what he gives, take). Rebuild when walked.</w:t>
      </w:r>
    </w:p>
    <w:p>
      <w:pPr>
        <w:spacing w:after="160"/>
      </w:pPr>
      <w:r>
        <w:rPr>
          <w:rFonts w:ascii="Calibri" w:hAnsi="Calibri" w:eastAsia="Calibri"/>
          <w:b w:val="0"/>
          <w:i w:val="0"/>
          <w:color w:val="222222"/>
          <w:sz w:val="22"/>
        </w:rPr>
        <w:t>Call: QB-0239 YES for the living messenger on walked verses. Not yet a charter for a post-mortem legal corpus.</w:t>
      </w:r>
    </w:p>
    <w:p>
      <w:pPr>
        <w:pStyle w:val="Heading1"/>
      </w:pPr>
      <w:r>
        <w:rPr>
          <w:rFonts w:ascii="Calibri" w:hAnsi="Calibri"/>
          <w:color w:val="1B3A4B"/>
        </w:rPr>
        <w:t>Q2. Did he intend that authority to continue after death through Sunnah?</w:t>
      </w:r>
    </w:p>
    <w:p>
      <w:pPr>
        <w:spacing w:after="160"/>
      </w:pPr>
      <w:r>
        <w:rPr>
          <w:rFonts w:ascii="Calibri" w:hAnsi="Calibri" w:eastAsia="Calibri"/>
          <w:b w:val="0"/>
          <w:i w:val="0"/>
          <w:color w:val="222222"/>
          <w:sz w:val="22"/>
        </w:rPr>
        <w:t>The walked Quran does not record that intention under that name. It does not say ‘when I am gone, my sunna is your law.’ Walked sunna is God’s course or the ancients’ pattern (8:38).</w:t>
      </w:r>
    </w:p>
    <w:p>
      <w:pPr>
        <w:spacing w:after="160"/>
      </w:pPr>
      <w:r>
        <w:rPr>
          <w:rFonts w:ascii="Calibri" w:hAnsi="Calibri" w:eastAsia="Calibri"/>
          <w:b w:val="0"/>
          <w:i w:val="0"/>
          <w:color w:val="222222"/>
          <w:sz w:val="22"/>
        </w:rPr>
        <w:t>Two ways people claim to know the intention anyway:</w:t>
      </w:r>
    </w:p>
    <w:p>
      <w:pPr>
        <w:spacing w:after="160"/>
      </w:pPr>
      <w:r>
        <w:rPr>
          <w:rFonts w:ascii="Calibri" w:hAnsi="Calibri" w:eastAsia="Calibri"/>
          <w:b w:val="0"/>
          <w:i w:val="0"/>
          <w:color w:val="222222"/>
          <w:sz w:val="22"/>
        </w:rPr>
        <w:t>From the Quran: infer that if obeying him = obeying God while he lives, the community must have a carrier after he dies. That is an inference. It does not specify ḥadīth books. 4:59’s ‘refer to God and the Messenger’ after 632 needs a proxy the verse does not name.</w:t>
      </w:r>
    </w:p>
    <w:p>
      <w:pPr>
        <w:spacing w:after="160"/>
      </w:pPr>
      <w:r>
        <w:rPr>
          <w:rFonts w:ascii="Calibri" w:hAnsi="Calibri" w:eastAsia="Calibri"/>
          <w:b w:val="0"/>
          <w:i w:val="0"/>
          <w:color w:val="222222"/>
          <w:sz w:val="22"/>
        </w:rPr>
        <w:t>From ḥadīth: reports in which he says ‘I have left you the Book and my Sunnah’ (or Book and household). Those reports are part of the later system. They cannot be used as independent proof that he installed that system. Circular.</w:t>
      </w:r>
    </w:p>
    <w:p>
      <w:pPr>
        <w:spacing w:after="160"/>
      </w:pPr>
      <w:r>
        <w:rPr>
          <w:rFonts w:ascii="Calibri" w:hAnsi="Calibri" w:eastAsia="Calibri"/>
          <w:b w:val="0"/>
          <w:i w:val="0"/>
          <w:color w:val="222222"/>
          <w:sz w:val="22"/>
        </w:rPr>
        <w:t>What we do not have: a seventh-century dated document in his hand, or in the Quran, that erects Sunnah-as-corpus. Ghadīr / saqīfa / the first-generation succession fight is evidence that the community itself did not share one obvious post-mortem plan.</w:t>
      </w:r>
    </w:p>
    <w:p>
      <w:pPr>
        <w:spacing w:after="160"/>
      </w:pPr>
      <w:r>
        <w:rPr>
          <w:rFonts w:ascii="Calibri" w:hAnsi="Calibri" w:eastAsia="Calibri"/>
          <w:b w:val="0"/>
          <w:i w:val="0"/>
          <w:color w:val="222222"/>
          <w:sz w:val="22"/>
        </w:rPr>
        <w:t>Call: QB-0240 NOT SHOWN from the walked Quran. Later tradition asserts it. Rebuild after 33:21 and 59:7, still without using Bukhārī to prove Bukhārī.</w:t>
      </w:r>
    </w:p>
    <w:p>
      <w:pPr>
        <w:pStyle w:val="Heading1"/>
      </w:pPr>
      <w:r>
        <w:rPr>
          <w:rFonts w:ascii="Calibri" w:hAnsi="Calibri"/>
          <w:color w:val="1B3A4B"/>
        </w:rPr>
        <w:t>Q3. Do the surviving Hadith collections reliably preserve that Sunnah?</w:t>
      </w:r>
    </w:p>
    <w:p>
      <w:pPr>
        <w:spacing w:after="160"/>
      </w:pPr>
      <w:r>
        <w:rPr>
          <w:rFonts w:ascii="Calibri" w:hAnsi="Calibri" w:eastAsia="Calibri"/>
          <w:b w:val="0"/>
          <w:i w:val="0"/>
          <w:color w:val="222222"/>
          <w:sz w:val="22"/>
        </w:rPr>
        <w:t>This is a historical question about books compiled mainly in the third Islamic century (Bukhārī d. 256/870; Muslim d. 261/875; the six books and their Shīʿī counterparts). Between the speaker and the page: oral transmission, political civil wars, legal debate, acknowledged fabrication (the tradition itself invented ʿilm al-ḥadīth because it knew people lied in the Prophet’s name), and a screening method (isnād + ʿilm al-rijāl) that is internal to the guild.</w:t>
      </w:r>
    </w:p>
    <w:p>
      <w:pPr>
        <w:spacing w:after="160"/>
      </w:pPr>
      <w:r>
        <w:rPr>
          <w:rFonts w:ascii="Calibri" w:hAnsi="Calibri" w:eastAsia="Calibri"/>
          <w:b w:val="0"/>
          <w:i w:val="0"/>
          <w:color w:val="222222"/>
          <w:sz w:val="22"/>
        </w:rPr>
        <w:t>What that method can do: sort reports the guild already has; grade men; prefer connected chains. What it cannot do by itself: turn a late compiled corpus into a stenograph of 630. There is no first-century written Hadith canon parallel to the Quran’s early written stability. Parallel reports routinely conflict on law, theology, and incident. The same method certifies material later historians treat as legend and material that looks like a real memory.</w:t>
      </w:r>
    </w:p>
    <w:p>
      <w:pPr>
        <w:spacing w:after="160"/>
      </w:pPr>
      <w:r>
        <w:rPr>
          <w:rFonts w:ascii="Calibri" w:hAnsi="Calibri" w:eastAsia="Calibri"/>
          <w:b w:val="0"/>
          <w:i w:val="0"/>
          <w:color w:val="222222"/>
          <w:sz w:val="22"/>
        </w:rPr>
        <w:t>So: some historical kernel of his practice is likely preserved, because a community that prayed, fasted, and fought did not invent all of that in 850. Reliability of any given legal or theological report — ‘he intended X to bind you after me’ — is not established by the fact that it is in Ṣaḥīḥ al-Bukhārī. That is the guild’s grade, not an external test.</w:t>
      </w:r>
    </w:p>
    <w:p>
      <w:pPr>
        <w:spacing w:after="160"/>
      </w:pPr>
      <w:r>
        <w:rPr>
          <w:rFonts w:ascii="Calibri" w:hAnsi="Calibri" w:eastAsia="Calibri"/>
          <w:b w:val="0"/>
          <w:i w:val="0"/>
          <w:color w:val="222222"/>
          <w:sz w:val="22"/>
        </w:rPr>
        <w:t>Call: QB-0241 NOT ESTABLISHED as a blanket yes. External test would need early dated documents, patterns of independent attestation, and a way to check reports without assuming the canon. The project can use Hadith later as a historical source with grades. It will not treat ‘the six books’ as the Quran’s own second volume.</w:t>
      </w:r>
    </w:p>
    <w:p>
      <w:pPr>
        <w:pStyle w:val="Heading1"/>
      </w:pPr>
      <w:r>
        <w:rPr>
          <w:rFonts w:ascii="Calibri" w:hAnsi="Calibri"/>
          <w:color w:val="1B3A4B"/>
        </w:rPr>
        <w:t>How the three lock together</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Question</w:t>
            </w:r>
          </w:p>
        </w:tc>
        <w:tc>
          <w:tcPr>
            <w:tcW w:type="dxa" w:w="3264"/>
            <w:shd w:fill="1B3A4B" w:val="clear"/>
          </w:tcPr>
          <w:p>
            <w:r/>
            <w:r>
              <w:rPr>
                <w:rFonts w:ascii="Calibri" w:hAnsi="Calibri" w:eastAsia="Calibri"/>
                <w:b/>
                <w:i w:val="0"/>
                <w:color w:val="FFFFFF"/>
                <w:sz w:val="18"/>
              </w:rPr>
              <w:t>Ask of</w:t>
            </w:r>
          </w:p>
        </w:tc>
        <w:tc>
          <w:tcPr>
            <w:tcW w:type="dxa" w:w="3264"/>
            <w:shd w:fill="1B3A4B" w:val="clear"/>
          </w:tcPr>
          <w:p>
            <w:r/>
            <w:r>
              <w:rPr>
                <w:rFonts w:ascii="Calibri" w:hAnsi="Calibri" w:eastAsia="Calibri"/>
                <w:b/>
                <w:i w:val="0"/>
                <w:color w:val="FFFFFF"/>
                <w:sz w:val="18"/>
              </w:rPr>
              <w:t>Present call</w:t>
            </w:r>
          </w:p>
        </w:tc>
      </w:tr>
      <w:tr>
        <w:tc>
          <w:tcPr>
            <w:tcW w:type="dxa" w:w="3264"/>
          </w:tcPr>
          <w:p>
            <w:r/>
            <w:r>
              <w:rPr>
                <w:rFonts w:ascii="Calibri" w:hAnsi="Calibri" w:eastAsia="Calibri"/>
                <w:b w:val="0"/>
                <w:i w:val="0"/>
                <w:color w:val="222222"/>
                <w:sz w:val="18"/>
              </w:rPr>
              <w:t>Authority beyond recitation?</w:t>
            </w:r>
          </w:p>
        </w:tc>
        <w:tc>
          <w:tcPr>
            <w:tcW w:type="dxa" w:w="3264"/>
          </w:tcPr>
          <w:p>
            <w:r/>
            <w:r>
              <w:rPr>
                <w:rFonts w:ascii="Calibri" w:hAnsi="Calibri" w:eastAsia="Calibri"/>
                <w:b w:val="0"/>
                <w:i w:val="0"/>
                <w:color w:val="222222"/>
                <w:sz w:val="18"/>
              </w:rPr>
              <w:t>Walked Quran</w:t>
            </w:r>
          </w:p>
        </w:tc>
        <w:tc>
          <w:tcPr>
            <w:tcW w:type="dxa" w:w="3264"/>
          </w:tcPr>
          <w:p>
            <w:r/>
            <w:r>
              <w:rPr>
                <w:rFonts w:ascii="Calibri" w:hAnsi="Calibri" w:eastAsia="Calibri"/>
                <w:b w:val="0"/>
                <w:i w:val="0"/>
                <w:color w:val="222222"/>
                <w:sz w:val="18"/>
              </w:rPr>
              <w:t>YES while he lived. Limits also walked (7:188).</w:t>
            </w:r>
          </w:p>
        </w:tc>
      </w:tr>
      <w:tr>
        <w:tc>
          <w:tcPr>
            <w:tcW w:type="dxa" w:w="3264"/>
            <w:shd w:fill="F4F1EA" w:val="clear"/>
          </w:tcPr>
          <w:p>
            <w:r/>
            <w:r>
              <w:rPr>
                <w:rFonts w:ascii="Calibri" w:hAnsi="Calibri" w:eastAsia="Calibri"/>
                <w:b w:val="0"/>
                <w:i w:val="0"/>
                <w:color w:val="222222"/>
                <w:sz w:val="18"/>
              </w:rPr>
              <w:t>Intend continuation via Sunnah?</w:t>
            </w:r>
          </w:p>
        </w:tc>
        <w:tc>
          <w:tcPr>
            <w:tcW w:type="dxa" w:w="3264"/>
            <w:shd w:fill="F4F1EA" w:val="clear"/>
          </w:tcPr>
          <w:p>
            <w:r/>
            <w:r>
              <w:rPr>
                <w:rFonts w:ascii="Calibri" w:hAnsi="Calibri" w:eastAsia="Calibri"/>
                <w:b w:val="0"/>
                <w:i w:val="0"/>
                <w:color w:val="222222"/>
                <w:sz w:val="18"/>
              </w:rPr>
              <w:t>Walked Quran + non-circular evidence of intent</w:t>
            </w:r>
          </w:p>
        </w:tc>
        <w:tc>
          <w:tcPr>
            <w:tcW w:type="dxa" w:w="3264"/>
            <w:shd w:fill="F4F1EA" w:val="clear"/>
          </w:tcPr>
          <w:p>
            <w:r/>
            <w:r>
              <w:rPr>
                <w:rFonts w:ascii="Calibri" w:hAnsi="Calibri" w:eastAsia="Calibri"/>
                <w:b w:val="0"/>
                <w:i w:val="0"/>
                <w:color w:val="222222"/>
                <w:sz w:val="18"/>
              </w:rPr>
              <w:t>NOT SHOWN. Inference is not installation. Hadith proof is circular.</w:t>
            </w:r>
          </w:p>
        </w:tc>
      </w:tr>
      <w:tr>
        <w:tc>
          <w:tcPr>
            <w:tcW w:type="dxa" w:w="3264"/>
          </w:tcPr>
          <w:p>
            <w:r/>
            <w:r>
              <w:rPr>
                <w:rFonts w:ascii="Calibri" w:hAnsi="Calibri" w:eastAsia="Calibri"/>
                <w:b w:val="0"/>
                <w:i w:val="0"/>
                <w:color w:val="222222"/>
                <w:sz w:val="18"/>
              </w:rPr>
              <w:t>Do collections reliably preserve it?</w:t>
            </w:r>
          </w:p>
        </w:tc>
        <w:tc>
          <w:tcPr>
            <w:tcW w:type="dxa" w:w="3264"/>
          </w:tcPr>
          <w:p>
            <w:r/>
            <w:r>
              <w:rPr>
                <w:rFonts w:ascii="Calibri" w:hAnsi="Calibri" w:eastAsia="Calibri"/>
                <w:b w:val="0"/>
                <w:i w:val="0"/>
                <w:color w:val="222222"/>
                <w:sz w:val="18"/>
              </w:rPr>
              <w:t>Historical method, not the collections' self-grade</w:t>
            </w:r>
          </w:p>
        </w:tc>
        <w:tc>
          <w:tcPr>
            <w:tcW w:type="dxa" w:w="3264"/>
          </w:tcPr>
          <w:p>
            <w:r/>
            <w:r>
              <w:rPr>
                <w:rFonts w:ascii="Calibri" w:hAnsi="Calibri" w:eastAsia="Calibri"/>
                <w:b w:val="0"/>
                <w:i w:val="0"/>
                <w:color w:val="222222"/>
                <w:sz w:val="18"/>
              </w:rPr>
              <w:t>NOT a blanket yes. Kernel likely; any given report unproven by canon-status.</w:t>
            </w:r>
          </w:p>
        </w:tc>
      </w:tr>
    </w:tbl>
    <w:p/>
    <w:p>
      <w:pPr>
        <w:spacing w:after="160"/>
      </w:pPr>
      <w:r>
        <w:rPr>
          <w:rFonts w:ascii="Calibri" w:hAnsi="Calibri" w:eastAsia="Calibri"/>
          <w:b w:val="0"/>
          <w:i w:val="0"/>
          <w:color w:val="222222"/>
          <w:sz w:val="22"/>
        </w:rPr>
        <w:t>If Q2 is not shown and Q3 is not a blanket yes, later Islam’s ‘Quran + Sunnah’ as twin sources is a post-Quranic constitution. It may be true. It is not yet read off the walked page.</w:t>
      </w:r>
    </w:p>
    <w:p>
      <w:pPr>
        <w:pStyle w:val="Heading1"/>
      </w:pPr>
      <w:r>
        <w:rPr>
          <w:rFonts w:ascii="Calibri" w:hAnsi="Calibri"/>
          <w:color w:val="1B3A4B"/>
        </w:rPr>
        <w:t>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QDISC-0409</w:t>
            </w:r>
          </w:p>
        </w:tc>
        <w:tc>
          <w:tcPr>
            <w:tcW w:type="dxa" w:w="4896"/>
          </w:tcPr>
          <w:p>
            <w:r/>
            <w:r>
              <w:rPr>
                <w:rFonts w:ascii="Calibri" w:hAnsi="Calibri" w:eastAsia="Calibri"/>
                <w:b w:val="0"/>
                <w:i w:val="0"/>
                <w:color w:val="222222"/>
                <w:sz w:val="18"/>
              </w:rPr>
              <w:t>Walked: living Messenger judges, assigns, calls — beyond recitation</w:t>
            </w:r>
          </w:p>
        </w:tc>
      </w:tr>
      <w:tr>
        <w:tc>
          <w:tcPr>
            <w:tcW w:type="dxa" w:w="4896"/>
            <w:shd w:fill="F4F1EA" w:val="clear"/>
          </w:tcPr>
          <w:p>
            <w:r/>
            <w:r>
              <w:rPr>
                <w:rFonts w:ascii="Calibri" w:hAnsi="Calibri" w:eastAsia="Calibri"/>
                <w:b w:val="0"/>
                <w:i w:val="0"/>
                <w:color w:val="222222"/>
                <w:sz w:val="18"/>
              </w:rPr>
              <w:t>QDISC-0410</w:t>
            </w:r>
          </w:p>
        </w:tc>
        <w:tc>
          <w:tcPr>
            <w:tcW w:type="dxa" w:w="4896"/>
            <w:shd w:fill="F4F1EA" w:val="clear"/>
          </w:tcPr>
          <w:p>
            <w:r/>
            <w:r>
              <w:rPr>
                <w:rFonts w:ascii="Calibri" w:hAnsi="Calibri" w:eastAsia="Calibri"/>
                <w:b w:val="0"/>
                <w:i w:val="0"/>
                <w:color w:val="222222"/>
                <w:sz w:val="18"/>
              </w:rPr>
              <w:t>Walked limit: no unseen, no self-benefit (7:188)</w:t>
            </w:r>
          </w:p>
        </w:tc>
      </w:tr>
      <w:tr>
        <w:tc>
          <w:tcPr>
            <w:tcW w:type="dxa" w:w="4896"/>
          </w:tcPr>
          <w:p>
            <w:r/>
            <w:r>
              <w:rPr>
                <w:rFonts w:ascii="Calibri" w:hAnsi="Calibri" w:eastAsia="Calibri"/>
                <w:b w:val="0"/>
                <w:i w:val="0"/>
                <w:color w:val="222222"/>
                <w:sz w:val="18"/>
              </w:rPr>
              <w:t>QDISC-0411</w:t>
            </w:r>
          </w:p>
        </w:tc>
        <w:tc>
          <w:tcPr>
            <w:tcW w:type="dxa" w:w="4896"/>
          </w:tcPr>
          <w:p>
            <w:r/>
            <w:r>
              <w:rPr>
                <w:rFonts w:ascii="Calibri" w:hAnsi="Calibri" w:eastAsia="Calibri"/>
                <w:b w:val="0"/>
                <w:i w:val="0"/>
                <w:color w:val="222222"/>
                <w:sz w:val="18"/>
              </w:rPr>
              <w:t>No walked installation of Sunnah-as-corpus after death</w:t>
            </w:r>
          </w:p>
        </w:tc>
      </w:tr>
      <w:tr>
        <w:tc>
          <w:tcPr>
            <w:tcW w:type="dxa" w:w="4896"/>
            <w:shd w:fill="F4F1EA" w:val="clear"/>
          </w:tcPr>
          <w:p>
            <w:r/>
            <w:r>
              <w:rPr>
                <w:rFonts w:ascii="Calibri" w:hAnsi="Calibri" w:eastAsia="Calibri"/>
                <w:b w:val="0"/>
                <w:i w:val="0"/>
                <w:color w:val="222222"/>
                <w:sz w:val="18"/>
              </w:rPr>
              <w:t>QDISC-0412</w:t>
            </w:r>
          </w:p>
        </w:tc>
        <w:tc>
          <w:tcPr>
            <w:tcW w:type="dxa" w:w="4896"/>
            <w:shd w:fill="F4F1EA" w:val="clear"/>
          </w:tcPr>
          <w:p>
            <w:r/>
            <w:r>
              <w:rPr>
                <w:rFonts w:ascii="Calibri" w:hAnsi="Calibri" w:eastAsia="Calibri"/>
                <w:b w:val="0"/>
                <w:i w:val="0"/>
                <w:color w:val="222222"/>
                <w:sz w:val="18"/>
              </w:rPr>
              <w:t>Hadith reports of 'Book and Sunnah' cannot prove themselves</w:t>
            </w:r>
          </w:p>
        </w:tc>
      </w:tr>
      <w:tr>
        <w:tc>
          <w:tcPr>
            <w:tcW w:type="dxa" w:w="4896"/>
          </w:tcPr>
          <w:p>
            <w:r/>
            <w:r>
              <w:rPr>
                <w:rFonts w:ascii="Calibri" w:hAnsi="Calibri" w:eastAsia="Calibri"/>
                <w:b w:val="0"/>
                <w:i w:val="0"/>
                <w:color w:val="222222"/>
                <w:sz w:val="18"/>
              </w:rPr>
              <w:t>QDISC-0413</w:t>
            </w:r>
          </w:p>
        </w:tc>
        <w:tc>
          <w:tcPr>
            <w:tcW w:type="dxa" w:w="4896"/>
          </w:tcPr>
          <w:p>
            <w:r/>
            <w:r>
              <w:rPr>
                <w:rFonts w:ascii="Calibri" w:hAnsi="Calibri" w:eastAsia="Calibri"/>
                <w:b w:val="0"/>
                <w:i w:val="0"/>
                <w:color w:val="222222"/>
                <w:sz w:val="18"/>
              </w:rPr>
              <w:t>Hadith canons are 3rd-century compilations; tradition admits fabrication</w:t>
            </w:r>
          </w:p>
        </w:tc>
      </w:tr>
      <w:tr>
        <w:tc>
          <w:tcPr>
            <w:tcW w:type="dxa" w:w="4896"/>
            <w:shd w:fill="F4F1EA" w:val="clear"/>
          </w:tcPr>
          <w:p>
            <w:r/>
            <w:r>
              <w:rPr>
                <w:rFonts w:ascii="Calibri" w:hAnsi="Calibri" w:eastAsia="Calibri"/>
                <w:b w:val="0"/>
                <w:i w:val="0"/>
                <w:color w:val="222222"/>
                <w:sz w:val="18"/>
              </w:rPr>
              <w:t>QDISC-0414</w:t>
            </w:r>
          </w:p>
        </w:tc>
        <w:tc>
          <w:tcPr>
            <w:tcW w:type="dxa" w:w="4896"/>
            <w:shd w:fill="F4F1EA" w:val="clear"/>
          </w:tcPr>
          <w:p>
            <w:r/>
            <w:r>
              <w:rPr>
                <w:rFonts w:ascii="Calibri" w:hAnsi="Calibri" w:eastAsia="Calibri"/>
                <w:b w:val="0"/>
                <w:i w:val="0"/>
                <w:color w:val="222222"/>
                <w:sz w:val="18"/>
              </w:rPr>
              <w:t>Kernel of practice likely; blanket reliability not established</w:t>
            </w:r>
          </w:p>
        </w:tc>
      </w:tr>
      <w:tr>
        <w:tc>
          <w:tcPr>
            <w:tcW w:type="dxa" w:w="4896"/>
          </w:tcPr>
          <w:p>
            <w:r/>
            <w:r>
              <w:rPr>
                <w:rFonts w:ascii="Calibri" w:hAnsi="Calibri" w:eastAsia="Calibri"/>
                <w:b w:val="0"/>
                <w:i w:val="0"/>
                <w:color w:val="222222"/>
                <w:sz w:val="18"/>
              </w:rPr>
              <w:t>QB-0239</w:t>
            </w:r>
          </w:p>
        </w:tc>
        <w:tc>
          <w:tcPr>
            <w:tcW w:type="dxa" w:w="4896"/>
          </w:tcPr>
          <w:p>
            <w:r/>
            <w:r>
              <w:rPr>
                <w:rFonts w:ascii="Calibri" w:hAnsi="Calibri" w:eastAsia="Calibri"/>
                <w:b w:val="0"/>
                <w:i w:val="0"/>
                <w:color w:val="222222"/>
                <w:sz w:val="18"/>
              </w:rPr>
              <w:t>Q1 YES for the living messenger</w:t>
            </w:r>
          </w:p>
        </w:tc>
      </w:tr>
      <w:tr>
        <w:tc>
          <w:tcPr>
            <w:tcW w:type="dxa" w:w="4896"/>
            <w:shd w:fill="F4F1EA" w:val="clear"/>
          </w:tcPr>
          <w:p>
            <w:r/>
            <w:r>
              <w:rPr>
                <w:rFonts w:ascii="Calibri" w:hAnsi="Calibri" w:eastAsia="Calibri"/>
                <w:b w:val="0"/>
                <w:i w:val="0"/>
                <w:color w:val="222222"/>
                <w:sz w:val="18"/>
              </w:rPr>
              <w:t>QB-0240</w:t>
            </w:r>
          </w:p>
        </w:tc>
        <w:tc>
          <w:tcPr>
            <w:tcW w:type="dxa" w:w="4896"/>
            <w:shd w:fill="F4F1EA" w:val="clear"/>
          </w:tcPr>
          <w:p>
            <w:r/>
            <w:r>
              <w:rPr>
                <w:rFonts w:ascii="Calibri" w:hAnsi="Calibri" w:eastAsia="Calibri"/>
                <w:b w:val="0"/>
                <w:i w:val="0"/>
                <w:color w:val="222222"/>
                <w:sz w:val="18"/>
              </w:rPr>
              <w:t>Q2 NOT SHOWN from walked Quran</w:t>
            </w:r>
          </w:p>
        </w:tc>
      </w:tr>
      <w:tr>
        <w:tc>
          <w:tcPr>
            <w:tcW w:type="dxa" w:w="4896"/>
          </w:tcPr>
          <w:p>
            <w:r/>
            <w:r>
              <w:rPr>
                <w:rFonts w:ascii="Calibri" w:hAnsi="Calibri" w:eastAsia="Calibri"/>
                <w:b w:val="0"/>
                <w:i w:val="0"/>
                <w:color w:val="222222"/>
                <w:sz w:val="18"/>
              </w:rPr>
              <w:t>QB-0241</w:t>
            </w:r>
          </w:p>
        </w:tc>
        <w:tc>
          <w:tcPr>
            <w:tcW w:type="dxa" w:w="4896"/>
          </w:tcPr>
          <w:p>
            <w:r/>
            <w:r>
              <w:rPr>
                <w:rFonts w:ascii="Calibri" w:hAnsi="Calibri" w:eastAsia="Calibri"/>
                <w:b w:val="0"/>
                <w:i w:val="0"/>
                <w:color w:val="222222"/>
                <w:sz w:val="18"/>
              </w:rPr>
              <w:t>Q3 NOT a blanket yes</w:t>
            </w:r>
          </w:p>
        </w:tc>
      </w:tr>
      <w:tr>
        <w:tc>
          <w:tcPr>
            <w:tcW w:type="dxa" w:w="4896"/>
            <w:shd w:fill="F4F1EA" w:val="clear"/>
          </w:tcPr>
          <w:p>
            <w:r/>
            <w:r>
              <w:rPr>
                <w:rFonts w:ascii="Calibri" w:hAnsi="Calibri" w:eastAsia="Calibri"/>
                <w:b w:val="0"/>
                <w:i w:val="0"/>
                <w:color w:val="222222"/>
                <w:sz w:val="18"/>
              </w:rPr>
              <w:t>QB-0242</w:t>
            </w:r>
          </w:p>
        </w:tc>
        <w:tc>
          <w:tcPr>
            <w:tcW w:type="dxa" w:w="4896"/>
            <w:shd w:fill="F4F1EA" w:val="clear"/>
          </w:tcPr>
          <w:p>
            <w:r/>
            <w:r>
              <w:rPr>
                <w:rFonts w:ascii="Calibri" w:hAnsi="Calibri" w:eastAsia="Calibri"/>
                <w:b w:val="0"/>
                <w:i w:val="0"/>
                <w:color w:val="222222"/>
                <w:sz w:val="18"/>
              </w:rPr>
              <w:t>Quran+Sunnah as twin sources is a later constitution until more is walked</w:t>
            </w:r>
          </w:p>
        </w:tc>
      </w:tr>
    </w:tbl>
    <w:p/>
    <w:p>
      <w:pPr>
        <w:spacing w:after="160"/>
      </w:pPr>
      <w:r>
        <w:rPr>
          <w:rFonts w:ascii="Calibri" w:hAnsi="Calibri" w:eastAsia="Calibri"/>
          <w:b w:val="0"/>
          <w:i w:val="0"/>
          <w:color w:val="222222"/>
          <w:sz w:val="22"/>
        </w:rPr>
        <w:t>Canonical next: 8:41.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living snapshot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Three questions on Messenger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questions on Messenger authority</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