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NOTE — WHAT 10:15–16 DOES AND DOES NOT PROVE</w:t>
      </w:r>
    </w:p>
    <w:p>
      <w:pPr>
        <w:spacing w:after="40"/>
      </w:pPr>
      <w:r>
        <w:rPr>
          <w:rFonts w:ascii="Calibri" w:hAnsi="Calibri" w:eastAsia="Calibri"/>
          <w:b/>
          <w:i w:val="0"/>
          <w:color w:val="1B3A4B"/>
          <w:sz w:val="22"/>
        </w:rPr>
        <w:t xml:space="preserve">Trigger: </w:t>
      </w:r>
      <w:r>
        <w:rPr>
          <w:rFonts w:ascii="Calibri" w:hAnsi="Calibri" w:eastAsia="Calibri"/>
          <w:b w:val="0"/>
          <w:i w:val="0"/>
          <w:color w:val="222222"/>
          <w:sz w:val="22"/>
        </w:rPr>
        <w:t>User file: Quran 10:15 — bring another Quran or change it</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QDISC-0510–0512; QB-0285</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What the verses claim (Level 1)</w:t>
      </w:r>
    </w:p>
    <w:p>
      <w:pPr>
        <w:spacing w:after="160"/>
      </w:pPr>
      <w:r>
        <w:rPr>
          <w:rFonts w:ascii="Calibri" w:hAnsi="Calibri" w:eastAsia="Calibri"/>
          <w:b w:val="0"/>
          <w:i w:val="0"/>
          <w:color w:val="222222"/>
          <w:sz w:val="22"/>
        </w:rPr>
        <w:t>10:15: Opponents ask him to bring another Quran or change this one. He is to say he cannot change it of his own accord. He follows only what is revealed. Disobeying his Lord in that would risk a great day’s punishment.</w:t>
      </w:r>
    </w:p>
    <w:p>
      <w:pPr>
        <w:spacing w:after="160"/>
      </w:pPr>
      <w:r>
        <w:rPr>
          <w:rFonts w:ascii="Calibri" w:hAnsi="Calibri" w:eastAsia="Calibri"/>
          <w:b w:val="0"/>
          <w:i w:val="0"/>
          <w:color w:val="222222"/>
          <w:sz w:val="22"/>
        </w:rPr>
        <w:t>10:16: If God had willed he would not have recited it and it would not have been made known to them. He lived among them a lifetime before it. Will you not understand? Forging a lie against God is the greater wrong (10:17).</w:t>
      </w:r>
    </w:p>
    <w:p>
      <w:pPr>
        <w:pStyle w:val="Heading1"/>
      </w:pPr>
      <w:r>
        <w:rPr>
          <w:rFonts w:ascii="Calibri" w:hAnsi="Calibri"/>
          <w:color w:val="1B3A4B"/>
        </w:rPr>
        <w:t>What that adds to the authority file</w:t>
      </w:r>
    </w:p>
    <w:p>
      <w:pPr>
        <w:spacing w:after="160"/>
      </w:pPr>
      <w:r>
        <w:rPr>
          <w:rFonts w:ascii="Calibri" w:hAnsi="Calibri" w:eastAsia="Calibri"/>
          <w:b w:val="0"/>
          <w:i w:val="0"/>
          <w:color w:val="222222"/>
          <w:sz w:val="22"/>
        </w:rPr>
        <w:t>Yes: a very strong addition to Pole B. The living Messenger is denied editorial rights over the Recitation. That is not the same as 9:43 (a community decision corrected) and not the same as 7:203 (he does not produce a sign on demand). Three limits, three jobs.</w:t>
      </w:r>
    </w:p>
    <w:p>
      <w:pPr>
        <w:pStyle w:val="Heading1"/>
      </w:pPr>
      <w:r>
        <w:rPr>
          <w:rFonts w:ascii="Calibri" w:hAnsi="Calibri"/>
          <w:color w:val="1B3A4B"/>
        </w:rPr>
        <w:t>What it does not prove</w:t>
      </w:r>
    </w:p>
    <w:p>
      <w:pPr>
        <w:spacing w:after="160"/>
      </w:pPr>
      <w:r>
        <w:rPr>
          <w:rFonts w:ascii="Calibri" w:hAnsi="Calibri" w:eastAsia="Calibri"/>
          <w:b w:val="0"/>
          <w:i w:val="0"/>
          <w:color w:val="222222"/>
          <w:sz w:val="22"/>
        </w:rPr>
        <w:t>It does not prove that the muṣḥaf on a shelf in 2026 is letter-for-letter what he recited in 620. That is a transmission question: collection after his death, Uthmānic recension, reported companion-codices, qirāʾāt. 10:15 is a rule aimed at him while he is speaking. It is silent on later compilers.</w:t>
      </w:r>
    </w:p>
    <w:p>
      <w:pPr>
        <w:spacing w:after="160"/>
      </w:pPr>
      <w:r>
        <w:rPr>
          <w:rFonts w:ascii="Calibri" w:hAnsi="Calibri" w:eastAsia="Calibri"/>
          <w:b w:val="0"/>
          <w:i w:val="0"/>
          <w:color w:val="222222"/>
          <w:sz w:val="22"/>
        </w:rPr>
        <w:t>It does not prove, from outside the Quran, that the content is from God rather than from him. ‘I cannot change it / I only follow revelation’ is what the text tells him to say. Taking that sentence as independent proof that the sentence is true is circular.</w:t>
      </w:r>
    </w:p>
    <w:p>
      <w:pPr>
        <w:spacing w:after="160"/>
      </w:pPr>
      <w:r>
        <w:rPr>
          <w:rFonts w:ascii="Calibri" w:hAnsi="Calibri" w:eastAsia="Calibri"/>
          <w:b w:val="0"/>
          <w:i w:val="0"/>
          <w:color w:val="222222"/>
          <w:sz w:val="22"/>
        </w:rPr>
        <w:t>10:16 does not become external biography. It is an argument the Quran puts in his mouth: you knew me for years before this arrived, so treat sudden-forgery as implausible. That argument only works on an audience that did know him. For us it is a claim about that audience, still inside this book. The attached note is right: not independent external testimony.</w:t>
      </w:r>
    </w:p>
    <w:p>
      <w:pPr>
        <w:pStyle w:val="Heading1"/>
      </w:pPr>
      <w:r>
        <w:rPr>
          <w:rFonts w:ascii="Calibri" w:hAnsi="Calibri"/>
          <w:color w:val="1B3A4B"/>
        </w:rPr>
        <w:t>Fair use of 10:16</w:t>
      </w:r>
    </w:p>
    <w:p>
      <w:pPr>
        <w:spacing w:after="160"/>
      </w:pPr>
      <w:r>
        <w:rPr>
          <w:rFonts w:ascii="Calibri" w:hAnsi="Calibri" w:eastAsia="Calibri"/>
          <w:b w:val="0"/>
          <w:i w:val="0"/>
          <w:color w:val="222222"/>
          <w:sz w:val="22"/>
        </w:rPr>
        <w:t>Historically interesting: the text expects contemporaries to have a long prior acquaintance. That is consistent with a public figure in a small town. It is not a dated dossier of his pre-610 speech and conduct. Sīra material that fills that lifetime is later and has to be weighed as later.</w:t>
      </w:r>
    </w:p>
    <w:p>
      <w:pPr>
        <w:pStyle w:val="Heading1"/>
      </w:pPr>
      <w:r>
        <w:rPr>
          <w:rFonts w:ascii="Calibri" w:hAnsi="Calibri"/>
          <w:color w:val="1B3A4B"/>
        </w:rPr>
        <w:t>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QDISC-0510</w:t>
            </w:r>
          </w:p>
        </w:tc>
        <w:tc>
          <w:tcPr>
            <w:tcW w:type="dxa" w:w="4896"/>
          </w:tcPr>
          <w:p>
            <w:r/>
            <w:r>
              <w:rPr>
                <w:rFonts w:ascii="Calibri" w:hAnsi="Calibri" w:eastAsia="Calibri"/>
                <w:b w:val="0"/>
                <w:i w:val="0"/>
                <w:color w:val="222222"/>
                <w:sz w:val="18"/>
              </w:rPr>
              <w:t>10:15 denies him editorial rights over the Recitation — Pole B</w:t>
            </w:r>
          </w:p>
        </w:tc>
      </w:tr>
      <w:tr>
        <w:tc>
          <w:tcPr>
            <w:tcW w:type="dxa" w:w="4896"/>
            <w:shd w:fill="F4F1EA" w:val="clear"/>
          </w:tcPr>
          <w:p>
            <w:r/>
            <w:r>
              <w:rPr>
                <w:rFonts w:ascii="Calibri" w:hAnsi="Calibri" w:eastAsia="Calibri"/>
                <w:b w:val="0"/>
                <w:i w:val="0"/>
                <w:color w:val="222222"/>
                <w:sz w:val="18"/>
              </w:rPr>
              <w:t>QDISC-0511</w:t>
            </w:r>
          </w:p>
        </w:tc>
        <w:tc>
          <w:tcPr>
            <w:tcW w:type="dxa" w:w="4896"/>
            <w:shd w:fill="F4F1EA" w:val="clear"/>
          </w:tcPr>
          <w:p>
            <w:r/>
            <w:r>
              <w:rPr>
                <w:rFonts w:ascii="Calibri" w:hAnsi="Calibri" w:eastAsia="Calibri"/>
                <w:b w:val="0"/>
                <w:i w:val="0"/>
                <w:color w:val="222222"/>
                <w:sz w:val="18"/>
              </w:rPr>
              <w:t>10:15–16 do not prove later muṣḥaf stability</w:t>
            </w:r>
          </w:p>
        </w:tc>
      </w:tr>
      <w:tr>
        <w:tc>
          <w:tcPr>
            <w:tcW w:type="dxa" w:w="4896"/>
          </w:tcPr>
          <w:p>
            <w:r/>
            <w:r>
              <w:rPr>
                <w:rFonts w:ascii="Calibri" w:hAnsi="Calibri" w:eastAsia="Calibri"/>
                <w:b w:val="0"/>
                <w:i w:val="0"/>
                <w:color w:val="222222"/>
                <w:sz w:val="18"/>
              </w:rPr>
              <w:t>QDISC-0512</w:t>
            </w:r>
          </w:p>
        </w:tc>
        <w:tc>
          <w:tcPr>
            <w:tcW w:type="dxa" w:w="4896"/>
          </w:tcPr>
          <w:p>
            <w:r/>
            <w:r>
              <w:rPr>
                <w:rFonts w:ascii="Calibri" w:hAnsi="Calibri" w:eastAsia="Calibri"/>
                <w:b w:val="0"/>
                <w:i w:val="0"/>
                <w:color w:val="222222"/>
                <w:sz w:val="18"/>
              </w:rPr>
              <w:t>10:16 lifetime-argument is inside the Quran, not external testimony</w:t>
            </w:r>
          </w:p>
        </w:tc>
      </w:tr>
      <w:tr>
        <w:tc>
          <w:tcPr>
            <w:tcW w:type="dxa" w:w="4896"/>
            <w:shd w:fill="F4F1EA" w:val="clear"/>
          </w:tcPr>
          <w:p>
            <w:r/>
            <w:r>
              <w:rPr>
                <w:rFonts w:ascii="Calibri" w:hAnsi="Calibri" w:eastAsia="Calibri"/>
                <w:b w:val="0"/>
                <w:i w:val="0"/>
                <w:color w:val="222222"/>
                <w:sz w:val="18"/>
              </w:rPr>
              <w:t>QB-0285</w:t>
            </w:r>
          </w:p>
        </w:tc>
        <w:tc>
          <w:tcPr>
            <w:tcW w:type="dxa" w:w="4896"/>
            <w:shd w:fill="F4F1EA" w:val="clear"/>
          </w:tcPr>
          <w:p>
            <w:r/>
            <w:r>
              <w:rPr>
                <w:rFonts w:ascii="Calibri" w:hAnsi="Calibri" w:eastAsia="Calibri"/>
                <w:b w:val="0"/>
                <w:i w:val="0"/>
                <w:color w:val="222222"/>
                <w:sz w:val="18"/>
              </w:rPr>
              <w:t>Claim vs proof: no-edit rule ≠ unaltered-canon demonstration</w:t>
            </w:r>
          </w:p>
        </w:tc>
      </w:tr>
    </w:tbl>
    <w:p/>
    <w:p>
      <w:pPr>
        <w:spacing w:after="160"/>
      </w:pPr>
      <w:r>
        <w:rPr>
          <w:rFonts w:ascii="Calibri" w:hAnsi="Calibri" w:eastAsia="Calibri"/>
          <w:b w:val="0"/>
          <w:i w:val="0"/>
          <w:color w:val="222222"/>
          <w:sz w:val="22"/>
        </w:rPr>
        <w:t>Canonical next remains 10:21.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note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Note 10:15-16 does not prove unaltered mushaf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10:15-16 does not prove unaltered mushaf</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