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PROBLEM STATEMENT — 7:157 AND THE BOOKS WITH THEM</w:t>
      </w:r>
    </w:p>
    <w:p>
      <w:pPr>
        <w:spacing w:after="40"/>
      </w:pPr>
      <w:r>
        <w:rPr>
          <w:rFonts w:ascii="Calibri" w:hAnsi="Calibri" w:eastAsia="Calibri"/>
          <w:b/>
          <w:i w:val="0"/>
          <w:color w:val="1B3A4B"/>
          <w:sz w:val="22"/>
        </w:rPr>
        <w:t xml:space="preserve">Status: </w:t>
      </w:r>
      <w:r>
        <w:rPr>
          <w:rFonts w:ascii="Calibri" w:hAnsi="Calibri" w:eastAsia="Calibri"/>
          <w:b w:val="0"/>
          <w:i w:val="0"/>
          <w:color w:val="222222"/>
          <w:sz w:val="22"/>
        </w:rPr>
        <w:t>LOCKED as externally testable historical/textual problem. Not a verdict on revelation.</w:t>
      </w:r>
    </w:p>
    <w:p>
      <w:pPr>
        <w:spacing w:after="40"/>
      </w:pPr>
      <w:r>
        <w:rPr>
          <w:rFonts w:ascii="Calibri" w:hAnsi="Calibri" w:eastAsia="Calibri"/>
          <w:b/>
          <w:i w:val="0"/>
          <w:color w:val="1B3A4B"/>
          <w:sz w:val="22"/>
        </w:rPr>
        <w:t xml:space="preserve">Cluster: </w:t>
      </w:r>
      <w:r>
        <w:rPr>
          <w:rFonts w:ascii="Calibri" w:hAnsi="Calibri" w:eastAsia="Calibri"/>
          <w:b w:val="0"/>
          <w:i w:val="0"/>
          <w:color w:val="222222"/>
          <w:sz w:val="22"/>
        </w:rPr>
        <w:t>Investigation_7_157; Tawrat_Injil; Diatessaron; Injil_Etymology; Tawrat_Jewish_Torah</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QDISC-0389–0392; QB-0228–0230</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The problem, stated so it can be tested</w:t>
      </w:r>
    </w:p>
    <w:p>
      <w:pPr>
        <w:spacing w:after="160"/>
      </w:pPr>
      <w:r>
        <w:rPr>
          <w:rFonts w:ascii="Calibri" w:hAnsi="Calibri" w:eastAsia="Calibri"/>
          <w:b w:val="0"/>
          <w:i w:val="0"/>
          <w:color w:val="222222"/>
          <w:sz w:val="22"/>
        </w:rPr>
        <w:t>7:157 asserts that the addressees find the ummī prophet written with them in the Tawrāt and the Injīl. ‘With them’ and ‘written’ and ‘find’ are public claims about books already in Jewish and Christian hands.</w:t>
      </w:r>
    </w:p>
    <w:p>
      <w:pPr>
        <w:spacing w:after="160"/>
      </w:pPr>
      <w:r>
        <w:rPr>
          <w:rFonts w:ascii="Calibri" w:hAnsi="Calibri" w:eastAsia="Calibri"/>
          <w:b w:val="0"/>
          <w:i w:val="0"/>
          <w:color w:val="222222"/>
          <w:sz w:val="22"/>
        </w:rPr>
        <w:t>The texts those communities demonstrably possessed before Islam do not presently yield a clear, pre-Islamic identification of Muhammad. The alternative — that the prediction lived in a different original Tawrāt / Injīl now lost — presently has no manuscript, and sits awkwardly with the same verse’s ‘with them,’ and with 3:93 / 5:43–47 / 5:66–68, which treat those names as books they can bring, recite, judge by, and uphold.</w:t>
      </w:r>
    </w:p>
    <w:p>
      <w:pPr>
        <w:spacing w:after="160"/>
      </w:pPr>
      <w:r>
        <w:rPr>
          <w:rFonts w:ascii="Calibri" w:hAnsi="Calibri" w:eastAsia="Calibri"/>
          <w:b w:val="0"/>
          <w:i w:val="0"/>
          <w:color w:val="222222"/>
          <w:sz w:val="22"/>
        </w:rPr>
        <w:t>That is the problem. It is historical and textual. It does not decide whether 7:157 is true as revelation. It records what the public evidence now is.</w:t>
      </w:r>
    </w:p>
    <w:p>
      <w:pPr>
        <w:pStyle w:val="Heading1"/>
      </w:pPr>
      <w:r>
        <w:rPr>
          <w:rFonts w:ascii="Calibri" w:hAnsi="Calibri"/>
          <w:color w:val="1B3A4B"/>
        </w:rPr>
        <w:t>2. Why the Tawrāt side is the stronger test</w:t>
      </w:r>
    </w:p>
    <w:p>
      <w:pPr>
        <w:spacing w:after="160"/>
      </w:pPr>
      <w:r>
        <w:rPr>
          <w:rFonts w:ascii="Calibri" w:hAnsi="Calibri" w:eastAsia="Calibri"/>
          <w:b w:val="0"/>
          <w:i w:val="0"/>
          <w:color w:val="222222"/>
          <w:sz w:val="22"/>
        </w:rPr>
        <w:t>The Jewish Torah-corpus (Genesis–Deuteronomy as a recognizable law-book) is attested centuries before both Christianity and Islam. The Dead Sea Scrolls (roughly third century BCE to first century CE) already show proto-Masoretic, pre-Samaritan, and other Pentateuch text-types. The Septuagint is older still as a translation witness. The Samaritan Pentateuch is an independent stream. Variants among those witnesses are real. They are not a different Mosaic work that vanished after Jesus.</w:t>
      </w:r>
    </w:p>
    <w:p>
      <w:pPr>
        <w:spacing w:after="160"/>
      </w:pPr>
      <w:r>
        <w:rPr>
          <w:rFonts w:ascii="Calibri" w:hAnsi="Calibri" w:eastAsia="Calibri"/>
          <w:b w:val="0"/>
          <w:i w:val="0"/>
          <w:color w:val="222222"/>
          <w:sz w:val="22"/>
        </w:rPr>
        <w:t>So the Tawrāt test is not ‘we only have medieval rabbinic Bibles.’ We are testing substantially the same Pentateuch Jews had long before Muhammad. 3:93 and 5:43 tell them to fetch that book. 7:157 says the finding is in it, with them.</w:t>
      </w:r>
    </w:p>
    <w:p>
      <w:pPr>
        <w:spacing w:after="160"/>
      </w:pPr>
      <w:r>
        <w:rPr>
          <w:rFonts w:ascii="Calibri" w:hAnsi="Calibri" w:eastAsia="Calibri"/>
          <w:b w:val="0"/>
          <w:i w:val="0"/>
          <w:color w:val="222222"/>
          <w:sz w:val="22"/>
        </w:rPr>
        <w:t>The Injīl test is weaker as a document-test and stronger as a genre-mismatch: no Jesus-given codex recovered; four Greek lives plus a Syriac mixed harmony of those four; the loanword is the ordinary Christian ‘Gospel.’ That is a real problem of object, but it does not have the DSS-depth the Tawrāt file has.</w:t>
      </w:r>
    </w:p>
    <w:p>
      <w:pPr>
        <w:pStyle w:val="Heading1"/>
      </w:pPr>
      <w:r>
        <w:rPr>
          <w:rFonts w:ascii="Calibri" w:hAnsi="Calibri"/>
          <w:color w:val="1B3A4B"/>
        </w:rPr>
        <w:t>3. What has been walked and what it showed</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File</w:t>
            </w:r>
          </w:p>
        </w:tc>
        <w:tc>
          <w:tcPr>
            <w:tcW w:type="dxa" w:w="4896"/>
            <w:shd w:fill="1B3A4B" w:val="clear"/>
          </w:tcPr>
          <w:p>
            <w:r/>
            <w:r>
              <w:rPr>
                <w:rFonts w:ascii="Calibri" w:hAnsi="Calibri" w:eastAsia="Calibri"/>
                <w:b/>
                <w:i w:val="0"/>
                <w:color w:val="FFFFFF"/>
                <w:sz w:val="18"/>
              </w:rPr>
              <w:t>Result</w:t>
            </w:r>
          </w:p>
        </w:tc>
      </w:tr>
      <w:tr>
        <w:tc>
          <w:tcPr>
            <w:tcW w:type="dxa" w:w="4896"/>
          </w:tcPr>
          <w:p>
            <w:r/>
            <w:r>
              <w:rPr>
                <w:rFonts w:ascii="Calibri" w:hAnsi="Calibri" w:eastAsia="Calibri"/>
                <w:b w:val="0"/>
                <w:i w:val="0"/>
                <w:color w:val="222222"/>
                <w:sz w:val="18"/>
              </w:rPr>
              <w:t>Popular named-proofs (Deut 18, 33:2, Isa 42, Song 5:16, John 14–16)</w:t>
            </w:r>
          </w:p>
        </w:tc>
        <w:tc>
          <w:tcPr>
            <w:tcW w:type="dxa" w:w="4896"/>
          </w:tcPr>
          <w:p>
            <w:r/>
            <w:r>
              <w:rPr>
                <w:rFonts w:ascii="Calibri" w:hAnsi="Calibri" w:eastAsia="Calibri"/>
                <w:b w:val="0"/>
                <w:i w:val="0"/>
                <w:color w:val="222222"/>
                <w:sz w:val="18"/>
              </w:rPr>
              <w:t>Wording, context, pre-Islamic copies, and pre-Islamic readers do not name Muhammad. Deut 18 is an office-cousin. Paraclete manuscripts read parakletos. Song 5:16 is a plural of desirable things.</w:t>
            </w:r>
          </w:p>
        </w:tc>
      </w:tr>
      <w:tr>
        <w:tc>
          <w:tcPr>
            <w:tcW w:type="dxa" w:w="4896"/>
            <w:shd w:fill="F4F1EA" w:val="clear"/>
          </w:tcPr>
          <w:p>
            <w:r/>
            <w:r>
              <w:rPr>
                <w:rFonts w:ascii="Calibri" w:hAnsi="Calibri" w:eastAsia="Calibri"/>
                <w:b w:val="0"/>
                <w:i w:val="0"/>
                <w:color w:val="222222"/>
                <w:sz w:val="18"/>
              </w:rPr>
              <w:t>Tawrat meaning</w:t>
            </w:r>
          </w:p>
        </w:tc>
        <w:tc>
          <w:tcPr>
            <w:tcW w:type="dxa" w:w="4896"/>
            <w:shd w:fill="F4F1EA" w:val="clear"/>
          </w:tcPr>
          <w:p>
            <w:r/>
            <w:r>
              <w:rPr>
                <w:rFonts w:ascii="Calibri" w:hAnsi="Calibri" w:eastAsia="Calibri"/>
                <w:b w:val="0"/>
                <w:i w:val="0"/>
                <w:color w:val="222222"/>
                <w:sz w:val="18"/>
              </w:rPr>
              <w:t>Fetch, recite, judge-by, uphold. Distortion/hiding/writing-with-hands are mishandling charges, not a Level-1 replacement of the book.</w:t>
            </w:r>
          </w:p>
        </w:tc>
      </w:tr>
      <w:tr>
        <w:tc>
          <w:tcPr>
            <w:tcW w:type="dxa" w:w="4896"/>
          </w:tcPr>
          <w:p>
            <w:r/>
            <w:r>
              <w:rPr>
                <w:rFonts w:ascii="Calibri" w:hAnsi="Calibri" w:eastAsia="Calibri"/>
                <w:b w:val="0"/>
                <w:i w:val="0"/>
                <w:color w:val="222222"/>
                <w:sz w:val="18"/>
              </w:rPr>
              <w:t>Injil meaning</w:t>
            </w:r>
          </w:p>
        </w:tc>
        <w:tc>
          <w:tcPr>
            <w:tcW w:type="dxa" w:w="4896"/>
          </w:tcPr>
          <w:p>
            <w:r/>
            <w:r>
              <w:rPr>
                <w:rFonts w:ascii="Calibri" w:hAnsi="Calibri" w:eastAsia="Calibri"/>
                <w:b w:val="0"/>
                <w:i w:val="0"/>
                <w:color w:val="222222"/>
                <w:sz w:val="18"/>
              </w:rPr>
              <w:t>Singular gift to Jesus; people of the Injil still told to judge by it. Genre contrast with four narratives.</w:t>
            </w:r>
          </w:p>
        </w:tc>
      </w:tr>
      <w:tr>
        <w:tc>
          <w:tcPr>
            <w:tcW w:type="dxa" w:w="4896"/>
            <w:shd w:fill="F4F1EA" w:val="clear"/>
          </w:tcPr>
          <w:p>
            <w:r/>
            <w:r>
              <w:rPr>
                <w:rFonts w:ascii="Calibri" w:hAnsi="Calibri" w:eastAsia="Calibri"/>
                <w:b w:val="0"/>
                <w:i w:val="0"/>
                <w:color w:val="222222"/>
                <w:sz w:val="18"/>
              </w:rPr>
              <w:t>Diatessaron</w:t>
            </w:r>
          </w:p>
        </w:tc>
        <w:tc>
          <w:tcPr>
            <w:tcW w:type="dxa" w:w="4896"/>
            <w:shd w:fill="F4F1EA" w:val="clear"/>
          </w:tcPr>
          <w:p>
            <w:r/>
            <w:r>
              <w:rPr>
                <w:rFonts w:ascii="Calibri" w:hAnsi="Calibri" w:eastAsia="Calibri"/>
                <w:b w:val="0"/>
                <w:i w:val="0"/>
                <w:color w:val="222222"/>
                <w:sz w:val="18"/>
              </w:rPr>
              <w:t>Singular Gospel in Syriac pews; still the four woven; passion remains; not given to Jesus; no 7:157 finding added.</w:t>
            </w:r>
          </w:p>
        </w:tc>
      </w:tr>
      <w:tr>
        <w:tc>
          <w:tcPr>
            <w:tcW w:type="dxa" w:w="4896"/>
          </w:tcPr>
          <w:p>
            <w:r/>
            <w:r>
              <w:rPr>
                <w:rFonts w:ascii="Calibri" w:hAnsi="Calibri" w:eastAsia="Calibri"/>
                <w:b w:val="0"/>
                <w:i w:val="0"/>
                <w:color w:val="222222"/>
                <w:sz w:val="18"/>
              </w:rPr>
              <w:t>Injil etymology</w:t>
            </w:r>
          </w:p>
        </w:tc>
        <w:tc>
          <w:tcPr>
            <w:tcW w:type="dxa" w:w="4896"/>
          </w:tcPr>
          <w:p>
            <w:r/>
            <w:r>
              <w:rPr>
                <w:rFonts w:ascii="Calibri" w:hAnsi="Calibri" w:eastAsia="Calibri"/>
                <w:b w:val="0"/>
                <w:i w:val="0"/>
                <w:color w:val="222222"/>
                <w:sz w:val="18"/>
              </w:rPr>
              <w:t>Greek euangelion via Syriac and/or Ethiopic. Inherited church-word. Sent-down-book slot is Quranic conceptualization.</w:t>
            </w:r>
          </w:p>
        </w:tc>
      </w:tr>
    </w:tbl>
    <w:p/>
    <w:p>
      <w:pPr>
        <w:pStyle w:val="Heading1"/>
      </w:pPr>
      <w:r>
        <w:rPr>
          <w:rFonts w:ascii="Calibri" w:hAnsi="Calibri"/>
          <w:color w:val="1B3A4B"/>
        </w:rPr>
        <w:t>4. The fork, kept honest</w:t>
      </w:r>
    </w:p>
    <w:p>
      <w:pPr>
        <w:spacing w:after="160"/>
      </w:pPr>
      <w:r>
        <w:rPr>
          <w:rFonts w:ascii="Calibri" w:hAnsi="Calibri" w:eastAsia="Calibri"/>
          <w:b w:val="0"/>
          <w:i w:val="0"/>
          <w:color w:val="222222"/>
          <w:sz w:val="22"/>
        </w:rPr>
        <w:t>Fork A — the books in hand are the referent. Then 7:157’s finding is a claim about the Jewish Torah and the Christian Gospel(s) as they stood. The present public reading of those books does not supply a clear Muhammad. That is a mismatch between claim and extant text.</w:t>
      </w:r>
    </w:p>
    <w:p>
      <w:pPr>
        <w:spacing w:after="160"/>
      </w:pPr>
      <w:r>
        <w:rPr>
          <w:rFonts w:ascii="Calibri" w:hAnsi="Calibri" w:eastAsia="Calibri"/>
          <w:b w:val="0"/>
          <w:i w:val="0"/>
          <w:color w:val="222222"/>
          <w:sz w:val="22"/>
        </w:rPr>
        <w:t>Fork B — a lost original is the referent. Then ‘with them’ and ‘bring the Tawrāt’ have to mean something other than the scrolls they could fetch. No manuscript of that original is on the table. The hypothesis is costless until a text appears; it is also untestable until a text appears.</w:t>
      </w:r>
    </w:p>
    <w:p>
      <w:pPr>
        <w:spacing w:after="160"/>
      </w:pPr>
      <w:r>
        <w:rPr>
          <w:rFonts w:ascii="Calibri" w:hAnsi="Calibri" w:eastAsia="Calibri"/>
          <w:b w:val="0"/>
          <w:i w:val="0"/>
          <w:color w:val="222222"/>
          <w:sz w:val="22"/>
        </w:rPr>
        <w:t>Fork C — ‘written’ means typology, office, or a reading their scholars should have seen. That softens 7:157 from a locatable verse to an interpretive duty. It is a possible reading of maktūban. It is no longer the popular proof-text method.</w:t>
      </w:r>
    </w:p>
    <w:p>
      <w:pPr>
        <w:spacing w:after="160"/>
      </w:pPr>
      <w:r>
        <w:rPr>
          <w:rFonts w:ascii="Calibri" w:hAnsi="Calibri" w:eastAsia="Calibri"/>
          <w:b w:val="0"/>
          <w:i w:val="0"/>
          <w:color w:val="222222"/>
          <w:sz w:val="22"/>
        </w:rPr>
        <w:t>The project does not pick a fork as revealed truth. It records that A is what the fetch-verses sound like, B lacks a document, and C changes the kind of claim.</w:t>
      </w:r>
    </w:p>
    <w:p>
      <w:pPr>
        <w:pStyle w:val="Heading1"/>
      </w:pPr>
      <w:r>
        <w:rPr>
          <w:rFonts w:ascii="Calibri" w:hAnsi="Calibri"/>
          <w:color w:val="1B3A4B"/>
        </w:rPr>
        <w:t>5. What would change this file</w:t>
      </w:r>
    </w:p>
    <w:p>
      <w:pPr>
        <w:spacing w:after="160"/>
      </w:pPr>
      <w:r>
        <w:rPr>
          <w:rFonts w:ascii="Calibri" w:hAnsi="Calibri" w:eastAsia="Calibri"/>
          <w:b w:val="0"/>
          <w:i w:val="0"/>
          <w:color w:val="222222"/>
          <w:sz w:val="22"/>
        </w:rPr>
        <w:t>A pre-Islamic Jewish manuscript or citation that identifies Deut 18 (or another Torah locus) as an Arabian / Ishmaelite prophet named or described as 7:157 describes him.</w:t>
      </w:r>
    </w:p>
    <w:p>
      <w:pPr>
        <w:spacing w:after="160"/>
      </w:pPr>
      <w:r>
        <w:rPr>
          <w:rFonts w:ascii="Calibri" w:hAnsi="Calibri" w:eastAsia="Calibri"/>
          <w:b w:val="0"/>
          <w:i w:val="0"/>
          <w:color w:val="222222"/>
          <w:sz w:val="22"/>
        </w:rPr>
        <w:t>A pre-Islamic Greek or Syriac Gospel manuscript reading periklytos, or any other wording that names Ahmad / Muhammad, with a datable hand before the seventh century.</w:t>
      </w:r>
    </w:p>
    <w:p>
      <w:pPr>
        <w:spacing w:after="160"/>
      </w:pPr>
      <w:r>
        <w:rPr>
          <w:rFonts w:ascii="Calibri" w:hAnsi="Calibri" w:eastAsia="Calibri"/>
          <w:b w:val="0"/>
          <w:i w:val="0"/>
          <w:color w:val="222222"/>
          <w:sz w:val="22"/>
        </w:rPr>
        <w:t>A recovered Jesus-given kitāb, or a recovered Moses-book that is not the Pentateuch, with provenance before Islam.</w:t>
      </w:r>
    </w:p>
    <w:p>
      <w:pPr>
        <w:spacing w:after="160"/>
      </w:pPr>
      <w:r>
        <w:rPr>
          <w:rFonts w:ascii="Calibri" w:hAnsi="Calibri" w:eastAsia="Calibri"/>
          <w:b w:val="0"/>
          <w:i w:val="0"/>
          <w:color w:val="222222"/>
          <w:sz w:val="22"/>
        </w:rPr>
        <w:t>Until one of those appears, the problem stands.</w:t>
      </w:r>
    </w:p>
    <w:p>
      <w:pPr>
        <w:pStyle w:val="Heading1"/>
      </w:pPr>
      <w:r>
        <w:rPr>
          <w:rFonts w:ascii="Calibri" w:hAnsi="Calibri"/>
          <w:color w:val="1B3A4B"/>
        </w:rPr>
        <w:t>6. What this file will not say</w:t>
      </w:r>
    </w:p>
    <w:p>
      <w:pPr>
        <w:spacing w:after="160"/>
      </w:pPr>
      <w:r>
        <w:rPr>
          <w:rFonts w:ascii="Calibri" w:hAnsi="Calibri" w:eastAsia="Calibri"/>
          <w:b w:val="0"/>
          <w:i w:val="0"/>
          <w:color w:val="222222"/>
          <w:sz w:val="22"/>
        </w:rPr>
        <w:t>Will not say the Quran lied. Will not say Jews and Christians forged their entire Bibles after the fact — the DSS make that late-forgery story impossible for the Torah. Will not say 61:6 is walked. Will not collapse Tawrāt and Injīl into one shape.</w:t>
      </w:r>
    </w:p>
    <w:p>
      <w:pPr>
        <w:pStyle w:val="Heading1"/>
      </w:pPr>
      <w:r>
        <w:rPr>
          <w:rFonts w:ascii="Calibri" w:hAnsi="Calibri"/>
          <w:color w:val="1B3A4B"/>
        </w:rPr>
        <w:t>7.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QDISC-0389</w:t>
            </w:r>
          </w:p>
        </w:tc>
        <w:tc>
          <w:tcPr>
            <w:tcW w:type="dxa" w:w="4896"/>
          </w:tcPr>
          <w:p>
            <w:r/>
            <w:r>
              <w:rPr>
                <w:rFonts w:ascii="Calibri" w:hAnsi="Calibri" w:eastAsia="Calibri"/>
                <w:b w:val="0"/>
                <w:i w:val="0"/>
                <w:color w:val="222222"/>
                <w:sz w:val="18"/>
              </w:rPr>
              <w:t>7:157 is a public claim about books with them</w:t>
            </w:r>
          </w:p>
        </w:tc>
      </w:tr>
      <w:tr>
        <w:tc>
          <w:tcPr>
            <w:tcW w:type="dxa" w:w="4896"/>
            <w:shd w:fill="F4F1EA" w:val="clear"/>
          </w:tcPr>
          <w:p>
            <w:r/>
            <w:r>
              <w:rPr>
                <w:rFonts w:ascii="Calibri" w:hAnsi="Calibri" w:eastAsia="Calibri"/>
                <w:b w:val="0"/>
                <w:i w:val="0"/>
                <w:color w:val="222222"/>
                <w:sz w:val="18"/>
              </w:rPr>
              <w:t>QDISC-0390</w:t>
            </w:r>
          </w:p>
        </w:tc>
        <w:tc>
          <w:tcPr>
            <w:tcW w:type="dxa" w:w="4896"/>
            <w:shd w:fill="F4F1EA" w:val="clear"/>
          </w:tcPr>
          <w:p>
            <w:r/>
            <w:r>
              <w:rPr>
                <w:rFonts w:ascii="Calibri" w:hAnsi="Calibri" w:eastAsia="Calibri"/>
                <w:b w:val="0"/>
                <w:i w:val="0"/>
                <w:color w:val="222222"/>
                <w:sz w:val="18"/>
              </w:rPr>
              <w:t>Extant pre-Islamic Tawrat/Injil do not presently yield a clear Muhammad</w:t>
            </w:r>
          </w:p>
        </w:tc>
      </w:tr>
      <w:tr>
        <w:tc>
          <w:tcPr>
            <w:tcW w:type="dxa" w:w="4896"/>
          </w:tcPr>
          <w:p>
            <w:r/>
            <w:r>
              <w:rPr>
                <w:rFonts w:ascii="Calibri" w:hAnsi="Calibri" w:eastAsia="Calibri"/>
                <w:b w:val="0"/>
                <w:i w:val="0"/>
                <w:color w:val="222222"/>
                <w:sz w:val="18"/>
              </w:rPr>
              <w:t>QDISC-0391</w:t>
            </w:r>
          </w:p>
        </w:tc>
        <w:tc>
          <w:tcPr>
            <w:tcW w:type="dxa" w:w="4896"/>
          </w:tcPr>
          <w:p>
            <w:r/>
            <w:r>
              <w:rPr>
                <w:rFonts w:ascii="Calibri" w:hAnsi="Calibri" w:eastAsia="Calibri"/>
                <w:b w:val="0"/>
                <w:i w:val="0"/>
                <w:color w:val="222222"/>
                <w:sz w:val="18"/>
              </w:rPr>
              <w:t>Lost-original lacks MSS and tensions with fetch / with-them verses</w:t>
            </w:r>
          </w:p>
        </w:tc>
      </w:tr>
      <w:tr>
        <w:tc>
          <w:tcPr>
            <w:tcW w:type="dxa" w:w="4896"/>
            <w:shd w:fill="F4F1EA" w:val="clear"/>
          </w:tcPr>
          <w:p>
            <w:r/>
            <w:r>
              <w:rPr>
                <w:rFonts w:ascii="Calibri" w:hAnsi="Calibri" w:eastAsia="Calibri"/>
                <w:b w:val="0"/>
                <w:i w:val="0"/>
                <w:color w:val="222222"/>
                <w:sz w:val="18"/>
              </w:rPr>
              <w:t>QDISC-0392</w:t>
            </w:r>
          </w:p>
        </w:tc>
        <w:tc>
          <w:tcPr>
            <w:tcW w:type="dxa" w:w="4896"/>
            <w:shd w:fill="F4F1EA" w:val="clear"/>
          </w:tcPr>
          <w:p>
            <w:r/>
            <w:r>
              <w:rPr>
                <w:rFonts w:ascii="Calibri" w:hAnsi="Calibri" w:eastAsia="Calibri"/>
                <w:b w:val="0"/>
                <w:i w:val="0"/>
                <w:color w:val="222222"/>
                <w:sz w:val="18"/>
              </w:rPr>
              <w:t>Tawrat test is stronger than Injil test because of DSS depth</w:t>
            </w:r>
          </w:p>
        </w:tc>
      </w:tr>
      <w:tr>
        <w:tc>
          <w:tcPr>
            <w:tcW w:type="dxa" w:w="4896"/>
          </w:tcPr>
          <w:p>
            <w:r/>
            <w:r>
              <w:rPr>
                <w:rFonts w:ascii="Calibri" w:hAnsi="Calibri" w:eastAsia="Calibri"/>
                <w:b w:val="0"/>
                <w:i w:val="0"/>
                <w:color w:val="222222"/>
                <w:sz w:val="18"/>
              </w:rPr>
              <w:t>QB-0228</w:t>
            </w:r>
          </w:p>
        </w:tc>
        <w:tc>
          <w:tcPr>
            <w:tcW w:type="dxa" w:w="4896"/>
          </w:tcPr>
          <w:p>
            <w:r/>
            <w:r>
              <w:rPr>
                <w:rFonts w:ascii="Calibri" w:hAnsi="Calibri" w:eastAsia="Calibri"/>
                <w:b w:val="0"/>
                <w:i w:val="0"/>
                <w:color w:val="222222"/>
                <w:sz w:val="18"/>
              </w:rPr>
              <w:t>PROBLEM: claim vs extant books</w:t>
            </w:r>
          </w:p>
        </w:tc>
      </w:tr>
      <w:tr>
        <w:tc>
          <w:tcPr>
            <w:tcW w:type="dxa" w:w="4896"/>
            <w:shd w:fill="F4F1EA" w:val="clear"/>
          </w:tcPr>
          <w:p>
            <w:r/>
            <w:r>
              <w:rPr>
                <w:rFonts w:ascii="Calibri" w:hAnsi="Calibri" w:eastAsia="Calibri"/>
                <w:b w:val="0"/>
                <w:i w:val="0"/>
                <w:color w:val="222222"/>
                <w:sz w:val="18"/>
              </w:rPr>
              <w:t>QB-0229</w:t>
            </w:r>
          </w:p>
        </w:tc>
        <w:tc>
          <w:tcPr>
            <w:tcW w:type="dxa" w:w="4896"/>
            <w:shd w:fill="F4F1EA" w:val="clear"/>
          </w:tcPr>
          <w:p>
            <w:r/>
            <w:r>
              <w:rPr>
                <w:rFonts w:ascii="Calibri" w:hAnsi="Calibri" w:eastAsia="Calibri"/>
                <w:b w:val="0"/>
                <w:i w:val="0"/>
                <w:color w:val="222222"/>
                <w:sz w:val="18"/>
              </w:rPr>
              <w:t>Tawrat-side strength: DSS / LXX / Samaritan</w:t>
            </w:r>
          </w:p>
        </w:tc>
      </w:tr>
      <w:tr>
        <w:tc>
          <w:tcPr>
            <w:tcW w:type="dxa" w:w="4896"/>
          </w:tcPr>
          <w:p>
            <w:r/>
            <w:r>
              <w:rPr>
                <w:rFonts w:ascii="Calibri" w:hAnsi="Calibri" w:eastAsia="Calibri"/>
                <w:b w:val="0"/>
                <w:i w:val="0"/>
                <w:color w:val="222222"/>
                <w:sz w:val="18"/>
              </w:rPr>
              <w:t>QB-0230</w:t>
            </w:r>
          </w:p>
        </w:tc>
        <w:tc>
          <w:tcPr>
            <w:tcW w:type="dxa" w:w="4896"/>
          </w:tcPr>
          <w:p>
            <w:r/>
            <w:r>
              <w:rPr>
                <w:rFonts w:ascii="Calibri" w:hAnsi="Calibri" w:eastAsia="Calibri"/>
                <w:b w:val="0"/>
                <w:i w:val="0"/>
                <w:color w:val="222222"/>
                <w:sz w:val="18"/>
              </w:rPr>
              <w:t>Three forks: books-in-hand / lost-original / softened 'written'</w:t>
            </w:r>
          </w:p>
        </w:tc>
      </w:tr>
    </w:tbl>
    <w:p/>
    <w:p>
      <w:pPr>
        <w:spacing w:after="160"/>
      </w:pPr>
      <w:r>
        <w:rPr>
          <w:rFonts w:ascii="Calibri" w:hAnsi="Calibri" w:eastAsia="Calibri"/>
          <w:b w:val="0"/>
          <w:i w:val="0"/>
          <w:color w:val="222222"/>
          <w:sz w:val="22"/>
        </w:rPr>
        <w:t>Canonical next remains 8:1 unless another off-sequence ask.</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PROBLEM STATEMENT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Problem 7:157 externally testable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7:157 externally testable</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