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CP06  ·  HĀRŪT AND MĀRŪT</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2:102–103 only (one long verse + coda)</w:t>
      </w:r>
    </w:p>
    <w:p>
      <w:pPr>
        <w:spacing w:after="40"/>
      </w:pPr>
      <w:r>
        <w:rPr>
          <w:rFonts w:ascii="Calibri" w:hAnsi="Calibri" w:eastAsia="Calibri"/>
          <w:b/>
          <w:i w:val="0"/>
          <w:color w:val="1B3A4B"/>
          <w:sz w:val="22"/>
        </w:rPr>
        <w:t xml:space="preserve">Why alone: </w:t>
      </w:r>
      <w:r>
        <w:rPr>
          <w:rFonts w:ascii="Calibri" w:hAnsi="Calibri" w:eastAsia="Calibri"/>
          <w:b w:val="0"/>
          <w:i w:val="0"/>
          <w:color w:val="222222"/>
          <w:sz w:val="22"/>
        </w:rPr>
        <w:t>Owner asked for this narrative. 2:102 is dense enough that folding naskh (2:106) into the same packet would bury it.</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What 2:102–103 actually says</w:t>
      </w:r>
    </w:p>
    <w:p>
      <w:pPr>
        <w:spacing w:after="160"/>
      </w:pPr>
      <w:r>
        <w:rPr>
          <w:rFonts w:ascii="Calibri" w:hAnsi="Calibri" w:eastAsia="Calibri"/>
          <w:b w:val="0"/>
          <w:i w:val="0"/>
          <w:color w:val="222222"/>
          <w:sz w:val="22"/>
        </w:rPr>
        <w:t>2:102 is one sentence-cluster. Compressed Level 1:</w:t>
      </w:r>
    </w:p>
    <w:p>
      <w:pPr>
        <w:spacing w:after="160"/>
      </w:pPr>
      <w:r>
        <w:rPr>
          <w:rFonts w:ascii="Calibri" w:hAnsi="Calibri" w:eastAsia="Calibri"/>
          <w:b w:val="0"/>
          <w:i w:val="0"/>
          <w:color w:val="222222"/>
          <w:sz w:val="22"/>
        </w:rPr>
        <w:t>They followed what the shayāṭīn recited/recite over the kingdom of Solomon. Solomon did not commit kufr; the shayāṭīn committed kufr. They teach people siḥr (magic/sorcery) and that which was sent down on the two angels at Bābil, Hārūt and Mārūt. Those two do not teach anyone until they say: we are only a fitnah (trial), so do not disbelieve. People learn from them that by which they separate a man and his spouse. They harm no one by it except by God’s permission. They learn what harms them and does not benefit them. They knew that whoever buys it has no share (khalāq) in the hereafter. Wretched is that for which they sold themselves, if they knew.</w:t>
      </w:r>
    </w:p>
    <w:p>
      <w:pPr>
        <w:spacing w:after="160"/>
      </w:pPr>
      <w:r>
        <w:rPr>
          <w:rFonts w:ascii="Calibri" w:hAnsi="Calibri" w:eastAsia="Calibri"/>
          <w:b w:val="0"/>
          <w:i w:val="0"/>
          <w:color w:val="222222"/>
          <w:sz w:val="22"/>
        </w:rPr>
        <w:t>2:103: If they had believed and been God-fearing, a reward from God would have been better, if they knew.</w:t>
      </w:r>
    </w:p>
    <w:p>
      <w:pPr>
        <w:pStyle w:val="Heading1"/>
      </w:pPr>
      <w:r>
        <w:rPr>
          <w:rFonts w:ascii="Calibri" w:hAnsi="Calibri"/>
          <w:color w:val="1B3A4B"/>
        </w:rPr>
        <w:t>2. What the verse does not say</w:t>
      </w:r>
    </w:p>
    <w:p>
      <w:pPr>
        <w:spacing w:after="160"/>
      </w:pPr>
      <w:r>
        <w:rPr>
          <w:rFonts w:ascii="Calibri" w:hAnsi="Calibri" w:eastAsia="Calibri"/>
          <w:b w:val="0"/>
          <w:i w:val="0"/>
          <w:color w:val="222222"/>
          <w:sz w:val="22"/>
        </w:rPr>
        <w:t>It does not narrate: angels volunteering to be tested on earth; a beautiful woman (Zuhra / Venus); wine, fornication, murder; teaching the Greatest Name; hanging upside down in a Babylonian well until the Hour. Those are the “Tale of Hārūt and Mārūt” in tafsir and qiṣaṣ. Provenance: TAFSIR / STORY LITERATURE.</w:t>
      </w:r>
    </w:p>
    <w:p>
      <w:pPr>
        <w:spacing w:after="160"/>
      </w:pPr>
      <w:r>
        <w:rPr>
          <w:rFonts w:ascii="Calibri" w:hAnsi="Calibri" w:eastAsia="Calibri"/>
          <w:b w:val="0"/>
          <w:i w:val="0"/>
          <w:color w:val="222222"/>
          <w:sz w:val="22"/>
        </w:rPr>
        <w:t>It does not say Solomon practiced magic. It denies his kufr and assigns kufr to the shayāṭīn.</w:t>
      </w:r>
    </w:p>
    <w:p>
      <w:pPr>
        <w:spacing w:after="160"/>
      </w:pPr>
      <w:r>
        <w:rPr>
          <w:rFonts w:ascii="Calibri" w:hAnsi="Calibri" w:eastAsia="Calibri"/>
          <w:b w:val="0"/>
          <w:i w:val="0"/>
          <w:color w:val="222222"/>
          <w:sz w:val="22"/>
        </w:rPr>
        <w:t>It does not define siḥr. It names one effect: separating spouses. Harm is real only bi-idhn Allāh.</w:t>
      </w:r>
    </w:p>
    <w:p>
      <w:pPr>
        <w:spacing w:after="160"/>
      </w:pPr>
      <w:r>
        <w:rPr>
          <w:rFonts w:ascii="Calibri" w:hAnsi="Calibri" w:eastAsia="Calibri"/>
          <w:b w:val="0"/>
          <w:i w:val="0"/>
          <w:color w:val="222222"/>
          <w:sz w:val="22"/>
        </w:rPr>
        <w:t>A variant reading malikayn (“two kings”) instead of malakayn (“two angels”) exists in the qirāʾāt discussion. Majority received text: angels. Record the variant as OPEN, not as the base.</w:t>
      </w:r>
    </w:p>
    <w:p>
      <w:pPr>
        <w:pStyle w:val="Heading1"/>
      </w:pPr>
      <w:r>
        <w:rPr>
          <w:rFonts w:ascii="Calibri" w:hAnsi="Calibri"/>
          <w:color w:val="1B3A4B"/>
        </w:rPr>
        <w:t>3. Clause-by-clause</w:t>
      </w:r>
    </w:p>
    <w:p>
      <w:pPr>
        <w:spacing w:after="160"/>
      </w:pPr>
      <w:r>
        <w:rPr>
          <w:rFonts w:ascii="Calibri" w:hAnsi="Calibri" w:eastAsia="Calibri"/>
          <w:b w:val="0"/>
          <w:i w:val="0"/>
          <w:color w:val="222222"/>
          <w:sz w:val="22"/>
        </w:rPr>
        <w:t>ittabaʿū mā tatlū l-shayāṭīnu ʿalā mulki sulaymān. “They” continues the prior Jewish addressees (2:101). Tatlū = recite / follow as recitation. ʿAlā mulki: over / against / during the kingdom. Pickthall hears “falsely related against.” SI hears “during the reign.” Both are live.</w:t>
      </w:r>
    </w:p>
    <w:p>
      <w:pPr>
        <w:spacing w:after="160"/>
      </w:pPr>
      <w:r>
        <w:rPr>
          <w:rFonts w:ascii="Calibri" w:hAnsi="Calibri" w:eastAsia="Calibri"/>
          <w:b w:val="0"/>
          <w:i w:val="0"/>
          <w:color w:val="222222"/>
          <w:sz w:val="22"/>
        </w:rPr>
        <w:t>wa-mā kafara sulaymānu wa-lākinna l-shayāṭīna kafarū. Explicit exoneration. This is the Quranic answer to a charge that Solomon’s power was sorcery or that Solomon himself disbelieved.</w:t>
      </w:r>
    </w:p>
    <w:p>
      <w:pPr>
        <w:spacing w:after="160"/>
      </w:pPr>
      <w:r>
        <w:rPr>
          <w:rFonts w:ascii="Calibri" w:hAnsi="Calibri" w:eastAsia="Calibri"/>
          <w:b w:val="0"/>
          <w:i w:val="0"/>
          <w:color w:val="222222"/>
          <w:sz w:val="22"/>
        </w:rPr>
        <w:t>yuʿallimūna l-nāsa l-siḥra wa-mā unzila ʿalā l-malakayni bi-bābila hārūta wa-mārūta. Grammar: “teaching people magic and [teaching] that which was sent down on the two angels” — or “magic, and [they also followed] that which was sent down…” The wa-mā unzila can be coordinated with siḥr or with what the shayāṭīn recited. Either way, something was unzila on two angels in Babylon named Hārūt and Mārūt.</w:t>
      </w:r>
    </w:p>
    <w:p>
      <w:pPr>
        <w:spacing w:after="160"/>
      </w:pPr>
      <w:r>
        <w:rPr>
          <w:rFonts w:ascii="Calibri" w:hAnsi="Calibri" w:eastAsia="Calibri"/>
          <w:b w:val="0"/>
          <w:i w:val="0"/>
          <w:color w:val="222222"/>
          <w:sz w:val="22"/>
        </w:rPr>
        <w:t>innamā naḥnu fitnatun fa-lā takfur. The angels present their teaching as a test whose wrong use is kufr. Learning the art is possible; practicing it as disbelief is the warned act.</w:t>
      </w:r>
    </w:p>
    <w:p>
      <w:pPr>
        <w:spacing w:after="160"/>
      </w:pPr>
      <w:r>
        <w:rPr>
          <w:rFonts w:ascii="Calibri" w:hAnsi="Calibri" w:eastAsia="Calibri"/>
          <w:b w:val="0"/>
          <w:i w:val="0"/>
          <w:color w:val="222222"/>
          <w:sz w:val="22"/>
        </w:rPr>
        <w:t>mā yufarriqūna bihi bayna l-marʾi wa-zawjihi. Specified social harm: marriage-rupture magic.</w:t>
      </w:r>
    </w:p>
    <w:p>
      <w:pPr>
        <w:spacing w:after="160"/>
      </w:pPr>
      <w:r>
        <w:rPr>
          <w:rFonts w:ascii="Calibri" w:hAnsi="Calibri" w:eastAsia="Calibri"/>
          <w:b w:val="0"/>
          <w:i w:val="0"/>
          <w:color w:val="222222"/>
          <w:sz w:val="22"/>
        </w:rPr>
        <w:t>illā bi-idhni llāh. Magic is not an independent rival power.</w:t>
      </w:r>
    </w:p>
    <w:p>
      <w:pPr>
        <w:spacing w:after="160"/>
      </w:pPr>
      <w:r>
        <w:rPr>
          <w:rFonts w:ascii="Calibri" w:hAnsi="Calibri" w:eastAsia="Calibri"/>
          <w:b w:val="0"/>
          <w:i w:val="0"/>
          <w:color w:val="222222"/>
          <w:sz w:val="22"/>
        </w:rPr>
        <w:t>man ishtarāhu mā lahu fī l-ākhirati min khalāq. Buying this knowledge forfeits a hereafter share. Israel “knew” that — so the charge is against known violation, not ignorance.</w:t>
      </w:r>
    </w:p>
    <w:p>
      <w:pPr>
        <w:pStyle w:val="Heading1"/>
      </w:pPr>
      <w:r>
        <w:rPr>
          <w:rFonts w:ascii="Calibri" w:hAnsi="Calibri"/>
          <w:color w:val="1B3A4B"/>
        </w:rPr>
        <w:t>4. Solomon in this verse vs the Bible</w:t>
      </w:r>
    </w:p>
    <w:p>
      <w:pPr>
        <w:spacing w:after="160"/>
      </w:pPr>
      <w:r>
        <w:rPr>
          <w:rFonts w:ascii="Calibri" w:hAnsi="Calibri" w:eastAsia="Calibri"/>
          <w:b w:val="0"/>
          <w:i w:val="0"/>
          <w:color w:val="222222"/>
          <w:sz w:val="22"/>
        </w:rPr>
        <w:t>1 Kings 11:1–13: Solomon loved many foreign women, followed their gods (Ashtoreth, Milcom, Chemosh), and built high places. That is the HB’s own charge of late-life apostasy.</w:t>
      </w:r>
    </w:p>
    <w:p>
      <w:pPr>
        <w:spacing w:after="160"/>
      </w:pPr>
      <w:r>
        <w:rPr>
          <w:rFonts w:ascii="Calibri" w:hAnsi="Calibri" w:eastAsia="Calibri"/>
          <w:b w:val="0"/>
          <w:i w:val="0"/>
          <w:color w:val="222222"/>
          <w:sz w:val="22"/>
        </w:rPr>
        <w:t>2:102 does not discuss wives or high places. It denies kufr in the specific frame of magic-recitation over his kingdom. Later Quranic Solomon (27; 34; 38) is a believing prophet who commands jinn/winds/birds. Those chapters are not this packet.</w:t>
      </w:r>
    </w:p>
    <w:p>
      <w:pPr>
        <w:spacing w:after="160"/>
      </w:pPr>
      <w:r>
        <w:rPr>
          <w:rFonts w:ascii="Calibri" w:hAnsi="Calibri" w:eastAsia="Calibri"/>
          <w:b w:val="0"/>
          <w:i w:val="0"/>
          <w:color w:val="222222"/>
          <w:sz w:val="22"/>
        </w:rPr>
        <w:t>QB-0032: PARTIAL AGREEMENT that Solomon is a great king in a world of spirits. DIRECT DENIAL of the idea that Solomon’s power was kufr-sorcery. REINTERPRETATION vs 1 Kings 11 if “kufr” is taken to cover idolatry — the verse’s immediate target is the magic slander, not a line-by-line rebuttal of 1 Kings 11. Do not pretend 2:102 quotes 1 Kings.</w:t>
      </w:r>
    </w:p>
    <w:p>
      <w:pPr>
        <w:pStyle w:val="Heading1"/>
      </w:pPr>
      <w:r>
        <w:rPr>
          <w:rFonts w:ascii="Calibri" w:hAnsi="Calibri"/>
          <w:color w:val="1B3A4B"/>
        </w:rPr>
        <w:t>5. Fallen-angel and magic lore (comparison, not source-proof)</w:t>
      </w:r>
    </w:p>
    <w:p>
      <w:pPr>
        <w:spacing w:after="160"/>
      </w:pPr>
      <w:r>
        <w:rPr>
          <w:rFonts w:ascii="Calibri" w:hAnsi="Calibri" w:eastAsia="Calibri"/>
          <w:b w:val="0"/>
          <w:i w:val="0"/>
          <w:color w:val="222222"/>
          <w:sz w:val="22"/>
        </w:rPr>
        <w:t>Genesis 6:1–4: sons of God / daughters of men. 1 Enoch 6–8: Watchers (Shemihazah, Asael/Azazel) teach forbidden arts including “spell-binding and cutting of roots,” cosmetics, weapons; they are bound. Jubilees 5; 2 Peter 2:4; Jude 6: angels who sinned, kept in chains. Midrashic Shemḥazai and ʿAzael (written forms often medieval): two angels, a woman, loss of the Name, Venus — structurally close to the tafsir Tale, not to 2:102’s short text.</w:t>
      </w:r>
    </w:p>
    <w:p>
      <w:pPr>
        <w:spacing w:after="160"/>
      </w:pPr>
      <w:r>
        <w:rPr>
          <w:rFonts w:ascii="Calibri" w:hAnsi="Calibri" w:eastAsia="Calibri"/>
          <w:b w:val="0"/>
          <w:i w:val="0"/>
          <w:color w:val="222222"/>
          <w:sz w:val="22"/>
        </w:rPr>
        <w:t>Names Hārūt / Mārūt: often compared with Avestan Haurvatāt and Amərətāt (wholeness / immortality), two Amesha Spentas. That is an etymological hypothesis, not a Quranic footnote. Babylon as location fits a Near Eastern magic capital in late antique imagination.</w:t>
      </w:r>
    </w:p>
    <w:p>
      <w:pPr>
        <w:spacing w:after="160"/>
      </w:pPr>
      <w:r>
        <w:rPr>
          <w:rFonts w:ascii="Calibri" w:hAnsi="Calibri" w:eastAsia="Calibri"/>
          <w:b w:val="0"/>
          <w:i w:val="0"/>
          <w:color w:val="222222"/>
          <w:sz w:val="22"/>
        </w:rPr>
        <w:t>Solomon + demons is a huge late-antique library (Testament of Solomon; later Jewish and Christian demonology; Islamic jinn-sagas). 2:102 assumes hearers already connect Solomon with spirits and with slander about sorcery.</w:t>
      </w:r>
    </w:p>
    <w:p>
      <w:pPr>
        <w:spacing w:after="160"/>
      </w:pPr>
      <w:r>
        <w:rPr>
          <w:rFonts w:ascii="Calibri" w:hAnsi="Calibri" w:eastAsia="Calibri"/>
          <w:b w:val="0"/>
          <w:i w:val="0"/>
          <w:color w:val="222222"/>
          <w:sz w:val="22"/>
        </w:rPr>
        <w:t>Classification of the relationship: possible relationship / shared mythic building-blocks (two named teachers of forbidden knowledge; Babylon; marriage harm; test). Demonstrable literary dependence of 2:102 on 1 Enoch or on Midrash Abkir is not established. Reeves and others note that some Jewish “Shemhazai and Azael” written tales post-date Islam and may even echo the Muslim Tale. Direction of traffic is not one-way and not proven for the Quranic verse itself.</w:t>
      </w:r>
    </w:p>
    <w:p>
      <w:pPr>
        <w:spacing w:after="160"/>
      </w:pPr>
      <w:r>
        <w:rPr>
          <w:rFonts w:ascii="Calibri" w:hAnsi="Calibri" w:eastAsia="Calibri"/>
          <w:b w:val="0"/>
          <w:i w:val="0"/>
          <w:color w:val="222222"/>
          <w:sz w:val="22"/>
        </w:rPr>
        <w:t>QB-0033: PARTIAL AGREEMENT with the Watcher tradition that forbidden knowledge can come via extra-human teachers and destroy human order. ADDITION: the teachers warn “we are a fitnah, do not disbelieve”; harm only by God’s leave; Solomon cleared. OMISSION: sex with human women is not in 2:102.</w:t>
      </w:r>
    </w:p>
    <w:p>
      <w:pPr>
        <w:pStyle w:val="Heading1"/>
      </w:pPr>
      <w:r>
        <w:rPr>
          <w:rFonts w:ascii="Calibri" w:hAnsi="Calibri"/>
          <w:color w:val="1B3A4B"/>
        </w:rPr>
        <w:t>6. Theology</w:t>
      </w:r>
    </w:p>
    <w:p>
      <w:pPr>
        <w:spacing w:after="160"/>
      </w:pPr>
      <w:r>
        <w:rPr>
          <w:rFonts w:ascii="Calibri" w:hAnsi="Calibri" w:eastAsia="Calibri"/>
          <w:b w:val="0"/>
          <w:i w:val="0"/>
          <w:color w:val="222222"/>
          <w:sz w:val="22"/>
        </w:rPr>
        <w:t>Kufr can attach to teaching and buying siḥr. Angels can be instruments of a trial that includes dangerous knowledge. God’s permission bounds harm. The hereafter share can be sold. Belief and taqwā (2:103) would have been better than that purchase. This is not a manual of magic; it is a condemnation of following it.</w:t>
      </w:r>
    </w:p>
    <w:p>
      <w:pPr>
        <w:pStyle w:val="Heading1"/>
      </w:pPr>
      <w:r>
        <w:rPr>
          <w:rFonts w:ascii="Calibri" w:hAnsi="Calibri"/>
          <w:color w:val="1B3A4B"/>
        </w:rPr>
        <w:t>7. Internal links</w:t>
      </w:r>
    </w:p>
    <w:p>
      <w:pPr>
        <w:spacing w:after="160"/>
      </w:pPr>
      <w:r>
        <w:rPr>
          <w:rFonts w:ascii="Calibri" w:hAnsi="Calibri" w:eastAsia="Calibri"/>
          <w:b w:val="0"/>
          <w:i w:val="0"/>
          <w:color w:val="222222"/>
          <w:sz w:val="22"/>
        </w:rPr>
        <w:t>2:14 shayāṭīn; 2:101 discarded Book; later 113–114 jinn; 27 / 34 / 38 Solomon; 113:4 evil of naffāthāt fī l-ʿuqad (women who blow on knots).</w:t>
      </w:r>
    </w:p>
    <w:p>
      <w:pPr>
        <w:pStyle w:val="Heading1"/>
      </w:pPr>
      <w:r>
        <w:rPr>
          <w:rFonts w:ascii="Calibri" w:hAnsi="Calibri"/>
          <w:color w:val="1B3A4B"/>
        </w:rPr>
        <w:t>8. QRQ</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QRQ</w:t>
            </w:r>
          </w:p>
        </w:tc>
        <w:tc>
          <w:tcPr>
            <w:tcW w:type="dxa" w:w="4896"/>
            <w:shd w:fill="1B3A4B" w:val="clear"/>
          </w:tcPr>
          <w:p>
            <w:r/>
            <w:r>
              <w:rPr>
                <w:rFonts w:ascii="Calibri" w:hAnsi="Calibri" w:eastAsia="Calibri"/>
                <w:b/>
                <w:i w:val="0"/>
                <w:color w:val="FFFFFF"/>
                <w:sz w:val="18"/>
              </w:rPr>
              <w:t>This block</w:t>
            </w:r>
          </w:p>
        </w:tc>
      </w:tr>
      <w:tr>
        <w:tc>
          <w:tcPr>
            <w:tcW w:type="dxa" w:w="4896"/>
          </w:tcPr>
          <w:p>
            <w:r/>
            <w:r>
              <w:rPr>
                <w:rFonts w:ascii="Calibri" w:hAnsi="Calibri" w:eastAsia="Calibri"/>
                <w:b w:val="0"/>
                <w:i w:val="0"/>
                <w:color w:val="222222"/>
                <w:sz w:val="18"/>
              </w:rPr>
              <w:t>0001</w:t>
            </w:r>
          </w:p>
        </w:tc>
        <w:tc>
          <w:tcPr>
            <w:tcW w:type="dxa" w:w="4896"/>
          </w:tcPr>
          <w:p>
            <w:r/>
            <w:r>
              <w:rPr>
                <w:rFonts w:ascii="Calibri" w:hAnsi="Calibri" w:eastAsia="Calibri"/>
                <w:b w:val="0"/>
                <w:i w:val="0"/>
                <w:color w:val="222222"/>
                <w:sz w:val="18"/>
              </w:rPr>
              <w:t>Permission-bounds harm; sends down something on two angels as fitnah; better reward if they had believed.</w:t>
            </w:r>
          </w:p>
        </w:tc>
      </w:tr>
      <w:tr>
        <w:tc>
          <w:tcPr>
            <w:tcW w:type="dxa" w:w="4896"/>
            <w:shd w:fill="F4F1EA" w:val="clear"/>
          </w:tcPr>
          <w:p>
            <w:r/>
            <w:r>
              <w:rPr>
                <w:rFonts w:ascii="Calibri" w:hAnsi="Calibri" w:eastAsia="Calibri"/>
                <w:b w:val="0"/>
                <w:i w:val="0"/>
                <w:color w:val="222222"/>
                <w:sz w:val="18"/>
              </w:rPr>
              <w:t>0002</w:t>
            </w:r>
          </w:p>
        </w:tc>
        <w:tc>
          <w:tcPr>
            <w:tcW w:type="dxa" w:w="4896"/>
            <w:shd w:fill="F4F1EA" w:val="clear"/>
          </w:tcPr>
          <w:p>
            <w:r/>
            <w:r>
              <w:rPr>
                <w:rFonts w:ascii="Calibri" w:hAnsi="Calibri" w:eastAsia="Calibri"/>
                <w:b w:val="0"/>
                <w:i w:val="0"/>
                <w:color w:val="222222"/>
                <w:sz w:val="18"/>
              </w:rPr>
              <w:t>No Jesus finding.</w:t>
            </w:r>
          </w:p>
        </w:tc>
      </w:tr>
      <w:tr>
        <w:tc>
          <w:tcPr>
            <w:tcW w:type="dxa" w:w="4896"/>
          </w:tcPr>
          <w:p>
            <w:r/>
            <w:r>
              <w:rPr>
                <w:rFonts w:ascii="Calibri" w:hAnsi="Calibri" w:eastAsia="Calibri"/>
                <w:b w:val="0"/>
                <w:i w:val="0"/>
                <w:color w:val="222222"/>
                <w:sz w:val="18"/>
              </w:rPr>
              <w:t>0003</w:t>
            </w:r>
          </w:p>
        </w:tc>
        <w:tc>
          <w:tcPr>
            <w:tcW w:type="dxa" w:w="4896"/>
          </w:tcPr>
          <w:p>
            <w:r/>
            <w:r>
              <w:rPr>
                <w:rFonts w:ascii="Calibri" w:hAnsi="Calibri" w:eastAsia="Calibri"/>
                <w:b w:val="0"/>
                <w:i w:val="0"/>
                <w:color w:val="222222"/>
                <w:sz w:val="18"/>
              </w:rPr>
              <w:t>They knew from prior knowledge that buying this has no hereafter share — another “they already knew” clause.</w:t>
            </w:r>
          </w:p>
        </w:tc>
      </w:tr>
      <w:tr>
        <w:tc>
          <w:tcPr>
            <w:tcW w:type="dxa" w:w="4896"/>
            <w:shd w:fill="F4F1EA" w:val="clear"/>
          </w:tcPr>
          <w:p>
            <w:r/>
            <w:r>
              <w:rPr>
                <w:rFonts w:ascii="Calibri" w:hAnsi="Calibri" w:eastAsia="Calibri"/>
                <w:b w:val="0"/>
                <w:i w:val="0"/>
                <w:color w:val="222222"/>
                <w:sz w:val="18"/>
              </w:rPr>
              <w:t>0009</w:t>
            </w:r>
          </w:p>
        </w:tc>
        <w:tc>
          <w:tcPr>
            <w:tcW w:type="dxa" w:w="4896"/>
            <w:shd w:fill="F4F1EA" w:val="clear"/>
          </w:tcPr>
          <w:p>
            <w:r/>
            <w:r>
              <w:rPr>
                <w:rFonts w:ascii="Calibri" w:hAnsi="Calibri" w:eastAsia="Calibri"/>
                <w:b w:val="0"/>
                <w:i w:val="0"/>
                <w:color w:val="222222"/>
                <w:sz w:val="18"/>
              </w:rPr>
              <w:t>Solomon (exonerated); Hārūt; Mārūt; unnamed shayāṭīn.</w:t>
            </w:r>
          </w:p>
        </w:tc>
      </w:tr>
      <w:tr>
        <w:tc>
          <w:tcPr>
            <w:tcW w:type="dxa" w:w="4896"/>
          </w:tcPr>
          <w:p>
            <w:r/>
            <w:r>
              <w:rPr>
                <w:rFonts w:ascii="Calibri" w:hAnsi="Calibri" w:eastAsia="Calibri"/>
                <w:b w:val="0"/>
                <w:i w:val="0"/>
                <w:color w:val="222222"/>
                <w:sz w:val="18"/>
              </w:rPr>
              <w:t>0007</w:t>
            </w:r>
          </w:p>
        </w:tc>
        <w:tc>
          <w:tcPr>
            <w:tcW w:type="dxa" w:w="4896"/>
          </w:tcPr>
          <w:p>
            <w:r/>
            <w:r>
              <w:rPr>
                <w:rFonts w:ascii="Calibri" w:hAnsi="Calibri" w:eastAsia="Calibri"/>
                <w:b w:val="0"/>
                <w:i w:val="0"/>
                <w:color w:val="222222"/>
                <w:sz w:val="18"/>
              </w:rPr>
              <w:t>Siḥr as purchased kufr; spouse-separation.</w:t>
            </w:r>
          </w:p>
        </w:tc>
      </w:tr>
      <w:tr>
        <w:tc>
          <w:tcPr>
            <w:tcW w:type="dxa" w:w="4896"/>
            <w:shd w:fill="F4F1EA" w:val="clear"/>
          </w:tcPr>
          <w:p>
            <w:r/>
            <w:r>
              <w:rPr>
                <w:rFonts w:ascii="Calibri" w:hAnsi="Calibri" w:eastAsia="Calibri"/>
                <w:b w:val="0"/>
                <w:i w:val="0"/>
                <w:color w:val="222222"/>
                <w:sz w:val="18"/>
              </w:rPr>
              <w:t>0008</w:t>
            </w:r>
          </w:p>
        </w:tc>
        <w:tc>
          <w:tcPr>
            <w:tcW w:type="dxa" w:w="4896"/>
            <w:shd w:fill="F4F1EA" w:val="clear"/>
          </w:tcPr>
          <w:p>
            <w:r/>
            <w:r>
              <w:rPr>
                <w:rFonts w:ascii="Calibri" w:hAnsi="Calibri" w:eastAsia="Calibri"/>
                <w:b w:val="0"/>
                <w:i w:val="0"/>
                <w:color w:val="222222"/>
                <w:sz w:val="18"/>
              </w:rPr>
              <w:t>No khalāq in the ākhirah for the buyer.</w:t>
            </w:r>
          </w:p>
        </w:tc>
      </w:tr>
    </w:tbl>
    <w:p/>
    <w:p>
      <w:pPr>
        <w:pStyle w:val="Heading1"/>
      </w:pPr>
      <w:r>
        <w:rPr>
          <w:rFonts w:ascii="Calibri" w:hAnsi="Calibri"/>
          <w:color w:val="1B3A4B"/>
        </w:rPr>
        <w:t>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Title</w:t>
            </w:r>
          </w:p>
        </w:tc>
        <w:tc>
          <w:tcPr>
            <w:tcW w:type="dxa" w:w="3264"/>
            <w:shd w:fill="1B3A4B" w:val="clear"/>
          </w:tcPr>
          <w:p>
            <w:r/>
            <w:r>
              <w:rPr>
                <w:rFonts w:ascii="Calibri" w:hAnsi="Calibri" w:eastAsia="Calibri"/>
                <w:b/>
                <w:i w:val="0"/>
                <w:color w:val="FFFFFF"/>
                <w:sz w:val="18"/>
              </w:rPr>
              <w:t>Class</w:t>
            </w:r>
          </w:p>
        </w:tc>
      </w:tr>
      <w:tr>
        <w:tc>
          <w:tcPr>
            <w:tcW w:type="dxa" w:w="3264"/>
          </w:tcPr>
          <w:p>
            <w:r/>
            <w:r>
              <w:rPr>
                <w:rFonts w:ascii="Calibri" w:hAnsi="Calibri" w:eastAsia="Calibri"/>
                <w:b w:val="0"/>
                <w:i w:val="0"/>
                <w:color w:val="222222"/>
                <w:sz w:val="18"/>
              </w:rPr>
              <w:t>QDISC-0037</w:t>
            </w:r>
          </w:p>
        </w:tc>
        <w:tc>
          <w:tcPr>
            <w:tcW w:type="dxa" w:w="3264"/>
          </w:tcPr>
          <w:p>
            <w:r/>
            <w:r>
              <w:rPr>
                <w:rFonts w:ascii="Calibri" w:hAnsi="Calibri" w:eastAsia="Calibri"/>
                <w:b w:val="0"/>
                <w:i w:val="0"/>
                <w:color w:val="222222"/>
                <w:sz w:val="18"/>
              </w:rPr>
              <w:t>Solomon did not commit kufr; shayatin did; they teach sihr</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QDISC-0038</w:t>
            </w:r>
          </w:p>
        </w:tc>
        <w:tc>
          <w:tcPr>
            <w:tcW w:type="dxa" w:w="3264"/>
            <w:shd w:fill="F4F1EA" w:val="clear"/>
          </w:tcPr>
          <w:p>
            <w:r/>
            <w:r>
              <w:rPr>
                <w:rFonts w:ascii="Calibri" w:hAnsi="Calibri" w:eastAsia="Calibri"/>
                <w:b w:val="0"/>
                <w:i w:val="0"/>
                <w:color w:val="222222"/>
                <w:sz w:val="18"/>
              </w:rPr>
              <w:t>Something sent down on two angels in Babylon, Harut and Marut; they warn they are a fitnah</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QDISC-0039</w:t>
            </w:r>
          </w:p>
        </w:tc>
        <w:tc>
          <w:tcPr>
            <w:tcW w:type="dxa" w:w="3264"/>
          </w:tcPr>
          <w:p>
            <w:r/>
            <w:r>
              <w:rPr>
                <w:rFonts w:ascii="Calibri" w:hAnsi="Calibri" w:eastAsia="Calibri"/>
                <w:b w:val="0"/>
                <w:i w:val="0"/>
                <w:color w:val="222222"/>
                <w:sz w:val="18"/>
              </w:rPr>
              <w:t>Learned art separates spouses; harm only by God's leave; buyer has no hereafter share</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QB-0032</w:t>
            </w:r>
          </w:p>
        </w:tc>
        <w:tc>
          <w:tcPr>
            <w:tcW w:type="dxa" w:w="3264"/>
            <w:shd w:fill="F4F1EA" w:val="clear"/>
          </w:tcPr>
          <w:p>
            <w:r/>
            <w:r>
              <w:rPr>
                <w:rFonts w:ascii="Calibri" w:hAnsi="Calibri" w:eastAsia="Calibri"/>
                <w:b w:val="0"/>
                <w:i w:val="0"/>
                <w:color w:val="222222"/>
                <w:sz w:val="18"/>
              </w:rPr>
              <w:t>Solomon vs 1 Kings 11 / sorcery slander</w:t>
            </w:r>
          </w:p>
        </w:tc>
        <w:tc>
          <w:tcPr>
            <w:tcW w:type="dxa" w:w="3264"/>
            <w:shd w:fill="F4F1EA" w:val="clear"/>
          </w:tcPr>
          <w:p>
            <w:r/>
            <w:r>
              <w:rPr>
                <w:rFonts w:ascii="Calibri" w:hAnsi="Calibri" w:eastAsia="Calibri"/>
                <w:b w:val="0"/>
                <w:i w:val="0"/>
                <w:color w:val="222222"/>
                <w:sz w:val="18"/>
              </w:rPr>
              <w:t>DENIAL of Solomon-as-kafir-sorcerer; 1 Kings 11 idolatry is a different charge</w:t>
            </w:r>
          </w:p>
        </w:tc>
      </w:tr>
      <w:tr>
        <w:tc>
          <w:tcPr>
            <w:tcW w:type="dxa" w:w="3264"/>
          </w:tcPr>
          <w:p>
            <w:r/>
            <w:r>
              <w:rPr>
                <w:rFonts w:ascii="Calibri" w:hAnsi="Calibri" w:eastAsia="Calibri"/>
                <w:b w:val="0"/>
                <w:i w:val="0"/>
                <w:color w:val="222222"/>
                <w:sz w:val="18"/>
              </w:rPr>
              <w:t>QB-0033</w:t>
            </w:r>
          </w:p>
        </w:tc>
        <w:tc>
          <w:tcPr>
            <w:tcW w:type="dxa" w:w="3264"/>
          </w:tcPr>
          <w:p>
            <w:r/>
            <w:r>
              <w:rPr>
                <w:rFonts w:ascii="Calibri" w:hAnsi="Calibri" w:eastAsia="Calibri"/>
                <w:b w:val="0"/>
                <w:i w:val="0"/>
                <w:color w:val="222222"/>
                <w:sz w:val="18"/>
              </w:rPr>
              <w:t>Harut/Marut // Watchers / Enoch / Shemhazai-Azael</w:t>
            </w:r>
          </w:p>
        </w:tc>
        <w:tc>
          <w:tcPr>
            <w:tcW w:type="dxa" w:w="3264"/>
          </w:tcPr>
          <w:p>
            <w:r/>
            <w:r>
              <w:rPr>
                <w:rFonts w:ascii="Calibri" w:hAnsi="Calibri" w:eastAsia="Calibri"/>
                <w:b w:val="0"/>
                <w:i w:val="0"/>
                <w:color w:val="222222"/>
                <w:sz w:val="18"/>
              </w:rPr>
              <w:t>PARTIAL AGREEMENT on forbidden-knowledge angels; tafsir Tale is closer to midrash than 2:102 is</w:t>
            </w:r>
          </w:p>
        </w:tc>
      </w:tr>
      <w:tr>
        <w:tc>
          <w:tcPr>
            <w:tcW w:type="dxa" w:w="3264"/>
            <w:shd w:fill="F4F1EA" w:val="clear"/>
          </w:tcPr>
          <w:p>
            <w:r/>
            <w:r>
              <w:rPr>
                <w:rFonts w:ascii="Calibri" w:hAnsi="Calibri" w:eastAsia="Calibri"/>
                <w:b w:val="0"/>
                <w:i w:val="0"/>
                <w:color w:val="222222"/>
                <w:sz w:val="18"/>
              </w:rPr>
              <w:t>QCA-0010</w:t>
            </w:r>
          </w:p>
        </w:tc>
        <w:tc>
          <w:tcPr>
            <w:tcW w:type="dxa" w:w="3264"/>
            <w:shd w:fill="F4F1EA" w:val="clear"/>
          </w:tcPr>
          <w:p>
            <w:r/>
            <w:r>
              <w:rPr>
                <w:rFonts w:ascii="Calibri" w:hAnsi="Calibri" w:eastAsia="Calibri"/>
                <w:b w:val="0"/>
                <w:i w:val="0"/>
                <w:color w:val="222222"/>
                <w:sz w:val="18"/>
              </w:rPr>
              <w:t>“Solomon was a magician” / “the Quran teaches fallen-angel fornication at Babylon”</w:t>
            </w:r>
          </w:p>
        </w:tc>
        <w:tc>
          <w:tcPr>
            <w:tcW w:type="dxa" w:w="3264"/>
            <w:shd w:fill="F4F1EA" w:val="clear"/>
          </w:tcPr>
          <w:p>
            <w:r/>
            <w:r>
              <w:rPr>
                <w:rFonts w:ascii="Calibri" w:hAnsi="Calibri" w:eastAsia="Calibri"/>
                <w:b w:val="0"/>
                <w:i w:val="0"/>
                <w:color w:val="222222"/>
                <w:sz w:val="18"/>
              </w:rPr>
              <w:t>First is what 2:102 denies. Second is tafsir, not the verse.</w:t>
            </w:r>
          </w:p>
        </w:tc>
      </w:tr>
    </w:tbl>
    <w:p/>
    <w:p>
      <w:pPr>
        <w:pStyle w:val="Heading1"/>
      </w:pPr>
      <w:r>
        <w:rPr>
          <w:rFonts w:ascii="Calibri" w:hAnsi="Calibri"/>
          <w:color w:val="1B3A4B"/>
        </w:rPr>
        <w:t>10. Dictionary / dossiers / provenance</w:t>
      </w:r>
    </w:p>
    <w:p>
      <w:pPr>
        <w:spacing w:after="160"/>
      </w:pPr>
      <w:r>
        <w:rPr>
          <w:rFonts w:ascii="Calibri" w:hAnsi="Calibri" w:eastAsia="Calibri"/>
          <w:b w:val="0"/>
          <w:i w:val="0"/>
          <w:color w:val="222222"/>
          <w:sz w:val="22"/>
        </w:rPr>
        <w:t>sihr; fitnah; Babil; Harut; Marut; khalaq; tala (recite).</w:t>
      </w:r>
    </w:p>
    <w:p>
      <w:pPr>
        <w:spacing w:after="160"/>
      </w:pPr>
      <w:r>
        <w:rPr>
          <w:rFonts w:ascii="Calibri" w:hAnsi="Calibri" w:eastAsia="Calibri"/>
          <w:b w:val="0"/>
          <w:i w:val="0"/>
          <w:color w:val="222222"/>
          <w:sz w:val="22"/>
        </w:rPr>
        <w:t>Dossier_Solomon opened from this verse: prophet-king, not kafir, kingdom associated with shayatin recitation that he is cleared of.</w:t>
      </w:r>
    </w:p>
    <w:p>
      <w:pPr>
        <w:spacing w:after="160"/>
      </w:pPr>
      <w:r>
        <w:rPr>
          <w:rFonts w:ascii="Calibri" w:hAnsi="Calibri" w:eastAsia="Calibri"/>
          <w:b w:val="0"/>
          <w:i w:val="0"/>
          <w:color w:val="222222"/>
          <w:sz w:val="22"/>
        </w:rPr>
        <w:t>Provenance split is the point of this packet. Do not quote Tabari’s woman-and-well as “the Quranic story of Harut and Marut.”</w:t>
      </w:r>
    </w:p>
    <w:p>
      <w:pPr>
        <w:pStyle w:val="Heading1"/>
      </w:pPr>
      <w:r>
        <w:rPr>
          <w:rFonts w:ascii="Calibri" w:hAnsi="Calibri"/>
          <w:color w:val="1B3A4B"/>
        </w:rPr>
        <w:t>11. Historical audit</w:t>
      </w:r>
    </w:p>
    <w:p>
      <w:pPr>
        <w:spacing w:after="160"/>
      </w:pPr>
      <w:r>
        <w:rPr>
          <w:rFonts w:ascii="Calibri" w:hAnsi="Calibri" w:eastAsia="Calibri"/>
          <w:b w:val="0"/>
          <w:i w:val="0"/>
          <w:color w:val="222222"/>
          <w:sz w:val="22"/>
        </w:rPr>
        <w:t>No extra-Quranic 7th-century inscription of these two names in a magic-teacher pair is cited here. Babylon as a magic topos is historically real as reputation. The verse is not an archaeological report.</w:t>
      </w:r>
    </w:p>
    <w:p>
      <w:pPr>
        <w:pStyle w:val="Heading1"/>
      </w:pPr>
      <w:r>
        <w:rPr>
          <w:rFonts w:ascii="Calibri" w:hAnsi="Calibri"/>
          <w:color w:val="1B3A4B"/>
        </w:rPr>
        <w:t>12. Summary</w:t>
      </w:r>
    </w:p>
    <w:p>
      <w:pPr>
        <w:spacing w:after="160"/>
      </w:pPr>
      <w:r>
        <w:rPr>
          <w:rFonts w:ascii="Calibri" w:hAnsi="Calibri" w:eastAsia="Calibri"/>
          <w:b w:val="0"/>
          <w:i w:val="0"/>
          <w:color w:val="222222"/>
          <w:sz w:val="22"/>
        </w:rPr>
        <w:t>2:102 is a polemic clearing Solomon and condemning those who followed devil-recitation and Babylon-sent teaching that breaks marriages. The angels warn that the teaching is a trial and that using it is kufr. Later Muslim storytelling filled in a Watcher-style romance that the verse does not tell. Biblical 1 Kings charges Solomon with idolatry, not this magic slander; Enoch charges Watchers with teaching forbidden arts and with sex — only the first theme is close to 2:102’s wording.</w:t>
      </w:r>
    </w:p>
    <w:p>
      <w:pPr>
        <w:spacing w:after="160"/>
      </w:pPr>
      <w:r>
        <w:rPr>
          <w:rFonts w:ascii="Calibri" w:hAnsi="Calibri" w:eastAsia="Calibri"/>
          <w:b w:val="0"/>
          <w:i w:val="0"/>
          <w:color w:val="222222"/>
          <w:sz w:val="22"/>
        </w:rPr>
        <w:t>Next sequential: 2:104–113 (or through 2:121), including naskh (2:106) and “none enter the Garden except Jew or Christian” (2:111).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Harut Marut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CP06 vv102-103 Harut Marut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CP06 vv102-103 Harut Marut</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