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CP11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2:178–195 (18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First legal panel: qiṣāṣ, bequest, Ramaḍān, property, then first fighting cluster. 2:196 opens ḥajj detail.</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Qiṣāṣ is prescribed in the slain: free for free, slave for slave, female for female. Remission by brother accepted with payment in iḥsān is a mercy; transgression after that is a painful punishment. In qiṣāṣ is life. Prescribed: when death approaches and he leaves good, a bequest for parents and relatives with maʿrūf — a duty on the muttaqīn. Changing it after hearing it: sin on the changers. If one fears error or sin from a testator and makes peace, no sin. Fasting is prescribed as it was prescribed on those before you, that you may become muttaqūn — limited days; sick or traveling make up later; those who can manage it with hardship: fidya of feeding a poor person; voluntary extra is better; fasting is better if you knew. Ramaḍān is the month in which the Quran was sent down as guidance, bayyināt, and furqān. Whoever is present, fast it; sick or traveling, a number of other days. God wants ease, not hardship, and that you complete the number and magnify God for having guided you. When My servants ask you about Me: I am near; I answer the caller when he calls. So let them respond to Me and believe, that they may be guided. Permitted on fasting nights: approach your women; they are a garment for you and you for them. God knew you were betraying yourselves and relented. Eat and drink until the white thread of dawn is distinct from the black, then complete the fast to night. Do not have intercourse while you are ʿākifūn in mosques. These are God’s limits. Do not consume one another’s property by false means or send it to judges to consume a portion of others’ property in sin. They ask about new moons: they are time-marks for people and ḥajj. Piety is not entering houses from their backs; enter them by their doors. Fight in God’s way those who fight you; do not transgress; God does not love transgressors. Kill them wherever you come upon them and expel them from where they expelled you; fitnah is worse than killing. Do not fight them at the Sacred Mosque until they fight you there; if they fight you, kill them — recompense of the kāfirīn. If they cease, God is forgiving, merciful. Fight them until there is no fitnah and the dīn is for God; if they cease, no ʿudwān except against the ẓālimīn. Sacred month for sacred month; violations have qiṣāṣ; whoever aggresses against you, aggress against him with the like; fear God. Spend in God’s way; do not throw yourselves into destruction with your own hands; do good.</w:t>
      </w:r>
    </w:p>
    <w:p>
      <w:pPr>
        <w:pStyle w:val="Heading1"/>
      </w:pPr>
      <w:r>
        <w:rPr>
          <w:rFonts w:ascii="Calibri" w:hAnsi="Calibri"/>
          <w:color w:val="1B3A4B"/>
        </w:rPr>
        <w:t>2–3. Investigation</w:t>
      </w:r>
    </w:p>
    <w:p>
      <w:pPr>
        <w:pStyle w:val="Heading2"/>
      </w:pPr>
      <w:r>
        <w:rPr>
          <w:rFonts w:ascii="Calibri" w:hAnsi="Calibri"/>
          <w:color w:val="1B3A4B"/>
        </w:rPr>
        <w:t>2:178–179 qiṣāṣ</w:t>
      </w:r>
    </w:p>
    <w:p>
      <w:pPr>
        <w:spacing w:after="160"/>
      </w:pPr>
      <w:r>
        <w:rPr>
          <w:rFonts w:ascii="Calibri" w:hAnsi="Calibri" w:eastAsia="Calibri"/>
          <w:b w:val="0"/>
          <w:i w:val="0"/>
          <w:color w:val="222222"/>
          <w:sz w:val="22"/>
        </w:rPr>
        <w:t>Prescribed in the qatlā. Matching categories: ḥurr/ḥurr, ʿabd/ʿabd, unthā/unthā. A brother may remit; payment with iḥsān follows. After remission, transgression is punished. In qiṣāṣ is life, that you may become muttaqūn.</w:t>
      </w:r>
    </w:p>
    <w:p>
      <w:pPr>
        <w:spacing w:after="160"/>
      </w:pPr>
      <w:r>
        <w:rPr>
          <w:rFonts w:ascii="Calibri" w:hAnsi="Calibri" w:eastAsia="Calibri"/>
          <w:b w:val="0"/>
          <w:i w:val="0"/>
          <w:color w:val="222222"/>
          <w:sz w:val="22"/>
        </w:rPr>
        <w:t>QB-0045: PARTIAL AGREEMENT with lex talionis (Exod 21:23–25; Lev 24:19–20; Deut 19:21). ADDITION of explicit brother-remission and “in qiṣāṣ is life.” NT trajectory in Matt 5:38–39 is a different ethic (do not resist the evildoer). Record both: HB parallel is the closer legal analogue; Sermon on the Mount is a contrast, not a source.</w:t>
      </w:r>
    </w:p>
    <w:p>
      <w:pPr>
        <w:pStyle w:val="Heading2"/>
      </w:pPr>
      <w:r>
        <w:rPr>
          <w:rFonts w:ascii="Calibri" w:hAnsi="Calibri"/>
          <w:color w:val="1B3A4B"/>
        </w:rPr>
        <w:t>2:180–182 bequest</w:t>
      </w:r>
    </w:p>
    <w:p>
      <w:pPr>
        <w:spacing w:after="160"/>
      </w:pPr>
      <w:r>
        <w:rPr>
          <w:rFonts w:ascii="Calibri" w:hAnsi="Calibri" w:eastAsia="Calibri"/>
          <w:b w:val="0"/>
          <w:i w:val="0"/>
          <w:color w:val="222222"/>
          <w:sz w:val="22"/>
        </w:rPr>
        <w:t>When death is near and good is left, a waṣiyya for parents and nearest kin with maʿrūf. Changing a heard bequest: sin on the changer. Peacemaking when error or sin is feared: no sin. Later inheritance verses (4:11–12) will interact with this; do not import them yet as if 2:180 were already abrogated. Naskh of bequest-by-heirs is a later uṣūl claim (Level 4).</w:t>
      </w:r>
    </w:p>
    <w:p>
      <w:pPr>
        <w:pStyle w:val="Heading2"/>
      </w:pPr>
      <w:r>
        <w:rPr>
          <w:rFonts w:ascii="Calibri" w:hAnsi="Calibri"/>
          <w:color w:val="1B3A4B"/>
        </w:rPr>
        <w:t>2:183–187 fasting / Ramaḍān / Quran sent down</w:t>
      </w:r>
    </w:p>
    <w:p>
      <w:pPr>
        <w:spacing w:after="160"/>
      </w:pPr>
      <w:r>
        <w:rPr>
          <w:rFonts w:ascii="Calibri" w:hAnsi="Calibri" w:eastAsia="Calibri"/>
          <w:b w:val="0"/>
          <w:i w:val="0"/>
          <w:color w:val="222222"/>
          <w:sz w:val="22"/>
        </w:rPr>
        <w:t>Fasting prescribed as on those before you — an explicit continuity claim with prior communities. Purpose: taqwā. Limited days; illness and travel: qaḍāʾ. Hardship option: fidya of feeding a poor person; extra good is better; fasting still preferred. Ramaḍān named as the month of the Quran’s tanzīl — guidance, clear proofs, criterion. Present in the month: fast it. Ease not hardship; complete the number; magnify God.</w:t>
      </w:r>
    </w:p>
    <w:p>
      <w:pPr>
        <w:spacing w:after="160"/>
      </w:pPr>
      <w:r>
        <w:rPr>
          <w:rFonts w:ascii="Calibri" w:hAnsi="Calibri" w:eastAsia="Calibri"/>
          <w:b w:val="0"/>
          <w:i w:val="0"/>
          <w:color w:val="222222"/>
          <w:sz w:val="22"/>
        </w:rPr>
        <w:t>2:186: when they ask you about Me — I am near; I answer the caller. No mediator is named.</w:t>
      </w:r>
    </w:p>
    <w:p>
      <w:pPr>
        <w:spacing w:after="160"/>
      </w:pPr>
      <w:r>
        <w:rPr>
          <w:rFonts w:ascii="Calibri" w:hAnsi="Calibri" w:eastAsia="Calibri"/>
          <w:b w:val="0"/>
          <w:i w:val="0"/>
          <w:color w:val="222222"/>
          <w:sz w:val="22"/>
        </w:rPr>
        <w:t>2:187: nights of the fast, sexual approach is permitted; garment metaphor; a prior self-betrayal God relented from (asbāb: some thought nights were also forbidden — TAFSIR). Dawn thread; complete to night; no intercourse in iʿtikāf. Ḥudūd Allāh.</w:t>
      </w:r>
    </w:p>
    <w:p>
      <w:pPr>
        <w:spacing w:after="160"/>
      </w:pPr>
      <w:r>
        <w:rPr>
          <w:rFonts w:ascii="Calibri" w:hAnsi="Calibri" w:eastAsia="Calibri"/>
          <w:b w:val="0"/>
          <w:i w:val="0"/>
          <w:color w:val="222222"/>
          <w:sz w:val="22"/>
        </w:rPr>
        <w:t>QB-0046: PARTIAL AGREEMENT that fasting is an inherited rite (Lev 16; Zech 8; Matt 6:16–18; pre-Islamic and Jewish fasts). ADDITION: this month is named Ramaḍān and identified as the Quran’s descent-month. The “as it was prescribed on those before you” is Level 1 continuity; it does not specify which prior calendar.</w:t>
      </w:r>
    </w:p>
    <w:p>
      <w:pPr>
        <w:pStyle w:val="Heading2"/>
      </w:pPr>
      <w:r>
        <w:rPr>
          <w:rFonts w:ascii="Calibri" w:hAnsi="Calibri"/>
          <w:color w:val="1B3A4B"/>
        </w:rPr>
        <w:t>2:188 property and judges</w:t>
      </w:r>
    </w:p>
    <w:p>
      <w:pPr>
        <w:spacing w:after="160"/>
      </w:pPr>
      <w:r>
        <w:rPr>
          <w:rFonts w:ascii="Calibri" w:hAnsi="Calibri" w:eastAsia="Calibri"/>
          <w:b w:val="0"/>
          <w:i w:val="0"/>
          <w:color w:val="222222"/>
          <w:sz w:val="22"/>
        </w:rPr>
        <w:t>Do not eat property among yourselves by bāṭil, nor send it to ḥukkām in order to eat a portion of people’s property in sin while you know. Legal ethics: bribery / abusive litigation.</w:t>
      </w:r>
    </w:p>
    <w:p>
      <w:pPr>
        <w:pStyle w:val="Heading2"/>
      </w:pPr>
      <w:r>
        <w:rPr>
          <w:rFonts w:ascii="Calibri" w:hAnsi="Calibri"/>
          <w:color w:val="1B3A4B"/>
        </w:rPr>
        <w:t>2:189 new moons; doors</w:t>
      </w:r>
    </w:p>
    <w:p>
      <w:pPr>
        <w:spacing w:after="160"/>
      </w:pPr>
      <w:r>
        <w:rPr>
          <w:rFonts w:ascii="Calibri" w:hAnsi="Calibri" w:eastAsia="Calibri"/>
          <w:b w:val="0"/>
          <w:i w:val="0"/>
          <w:color w:val="222222"/>
          <w:sz w:val="22"/>
        </w:rPr>
        <w:t>Ahilla are mawāqīt for people and ḥajj. Birr is not entering houses from their backs. Enter by doors; fear God. Another anti-formalism line after 2:177.</w:t>
      </w:r>
    </w:p>
    <w:p>
      <w:pPr>
        <w:pStyle w:val="Heading2"/>
      </w:pPr>
      <w:r>
        <w:rPr>
          <w:rFonts w:ascii="Calibri" w:hAnsi="Calibri"/>
          <w:color w:val="1B3A4B"/>
        </w:rPr>
        <w:t>2:190–195 fighting cluster</w:t>
      </w:r>
    </w:p>
    <w:p>
      <w:pPr>
        <w:spacing w:after="160"/>
      </w:pPr>
      <w:r>
        <w:rPr>
          <w:rFonts w:ascii="Calibri" w:hAnsi="Calibri" w:eastAsia="Calibri"/>
          <w:b w:val="0"/>
          <w:i w:val="0"/>
          <w:color w:val="222222"/>
          <w:sz w:val="22"/>
        </w:rPr>
        <w:t>Level 1, without later fiqh expansion: fight in God’s way those who fight you; do not transgress; God does not love those who transgress. Kill/expel in reciprocity of expulsion; fitnah is worse than killing. No fighting at the Sacred Mosque until they fight you there; if they do, kill them; if they cease, God is forgiving. Fight until there is no fitnah and the dīn is for God; if they cease, no assault except on the ẓālimīn. Sacred month answers sacred month; ḥurumāt have qiṣāṣ; answer aggression with its like. Spend; do not throw yourselves to tahluka with your own hands; iḥsān.</w:t>
      </w:r>
    </w:p>
    <w:p>
      <w:pPr>
        <w:spacing w:after="160"/>
      </w:pPr>
      <w:r>
        <w:rPr>
          <w:rFonts w:ascii="Calibri" w:hAnsi="Calibri" w:eastAsia="Calibri"/>
          <w:b w:val="0"/>
          <w:i w:val="0"/>
          <w:color w:val="222222"/>
          <w:sz w:val="22"/>
        </w:rPr>
        <w:t>Fitnah here is usually read as persecution / forced apostasy / sedition — range is real. “Dīn is for God” is a purpose-clause, not a detailed constitution.</w:t>
      </w:r>
    </w:p>
    <w:p>
      <w:pPr>
        <w:spacing w:after="160"/>
      </w:pPr>
      <w:r>
        <w:rPr>
          <w:rFonts w:ascii="Calibri" w:hAnsi="Calibri" w:eastAsia="Calibri"/>
          <w:b w:val="0"/>
          <w:i w:val="0"/>
          <w:color w:val="222222"/>
          <w:sz w:val="22"/>
        </w:rPr>
        <w:t>QB-0047: PARTIAL AGREEMENT with HB war law that includes reciprocal ḥerem, sacred-time limits, and “eye for eye” at community scale (Deut 20 is harsher in places; Exod 21 is the talion frame). CONTRAST with Matt 5:39 and with later just-war theory that is not in this verse. Do not flatten 2:190–193 into either “only defensive forever” or “open-ended conquest.” The verses contain both a against-those-who-fight-you limiter (190) and an until-fitnah-ceases purpose (193). How those two clauses govern each other is the live uṣūl fight. Level 1 records both clauses.</w:t>
      </w:r>
    </w:p>
    <w:p>
      <w:pPr>
        <w:spacing w:after="160"/>
      </w:pPr>
      <w:r>
        <w:rPr>
          <w:rFonts w:ascii="Calibri" w:hAnsi="Calibri" w:eastAsia="Calibri"/>
          <w:b w:val="0"/>
          <w:i w:val="0"/>
          <w:color w:val="222222"/>
          <w:sz w:val="22"/>
        </w:rPr>
        <w:t>This packet describes the text. It is not a targeting guide.</w:t>
      </w:r>
    </w:p>
    <w:p>
      <w:pPr>
        <w:pStyle w:val="Heading1"/>
      </w:pPr>
      <w:r>
        <w:rPr>
          <w:rFonts w:ascii="Calibri" w:hAnsi="Calibri"/>
          <w:color w:val="1B3A4B"/>
        </w:rPr>
        <w:t>4–9. Language, theology,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qisas</w:t>
            </w:r>
          </w:p>
        </w:tc>
        <w:tc>
          <w:tcPr>
            <w:tcW w:type="dxa" w:w="4896"/>
          </w:tcPr>
          <w:p>
            <w:r/>
            <w:r>
              <w:rPr>
                <w:rFonts w:ascii="Calibri" w:hAnsi="Calibri" w:eastAsia="Calibri"/>
                <w:b w:val="0"/>
                <w:i w:val="0"/>
                <w:color w:val="222222"/>
                <w:sz w:val="18"/>
              </w:rPr>
              <w:t>just retaliation / equivalence</w:t>
            </w:r>
          </w:p>
        </w:tc>
      </w:tr>
      <w:tr>
        <w:tc>
          <w:tcPr>
            <w:tcW w:type="dxa" w:w="4896"/>
            <w:shd w:fill="F4F1EA" w:val="clear"/>
          </w:tcPr>
          <w:p>
            <w:r/>
            <w:r>
              <w:rPr>
                <w:rFonts w:ascii="Calibri" w:hAnsi="Calibri" w:eastAsia="Calibri"/>
                <w:b w:val="0"/>
                <w:i w:val="0"/>
                <w:color w:val="222222"/>
                <w:sz w:val="18"/>
              </w:rPr>
              <w:t>wasiyya</w:t>
            </w:r>
          </w:p>
        </w:tc>
        <w:tc>
          <w:tcPr>
            <w:tcW w:type="dxa" w:w="4896"/>
            <w:shd w:fill="F4F1EA" w:val="clear"/>
          </w:tcPr>
          <w:p>
            <w:r/>
            <w:r>
              <w:rPr>
                <w:rFonts w:ascii="Calibri" w:hAnsi="Calibri" w:eastAsia="Calibri"/>
                <w:b w:val="0"/>
                <w:i w:val="0"/>
                <w:color w:val="222222"/>
                <w:sz w:val="18"/>
              </w:rPr>
              <w:t>bequest</w:t>
            </w:r>
          </w:p>
        </w:tc>
      </w:tr>
      <w:tr>
        <w:tc>
          <w:tcPr>
            <w:tcW w:type="dxa" w:w="4896"/>
          </w:tcPr>
          <w:p>
            <w:r/>
            <w:r>
              <w:rPr>
                <w:rFonts w:ascii="Calibri" w:hAnsi="Calibri" w:eastAsia="Calibri"/>
                <w:b w:val="0"/>
                <w:i w:val="0"/>
                <w:color w:val="222222"/>
                <w:sz w:val="18"/>
              </w:rPr>
              <w:t>kutiba</w:t>
            </w:r>
          </w:p>
        </w:tc>
        <w:tc>
          <w:tcPr>
            <w:tcW w:type="dxa" w:w="4896"/>
          </w:tcPr>
          <w:p>
            <w:r/>
            <w:r>
              <w:rPr>
                <w:rFonts w:ascii="Calibri" w:hAnsi="Calibri" w:eastAsia="Calibri"/>
                <w:b w:val="0"/>
                <w:i w:val="0"/>
                <w:color w:val="222222"/>
                <w:sz w:val="18"/>
              </w:rPr>
              <w:t>prescribed / written upon you</w:t>
            </w:r>
          </w:p>
        </w:tc>
      </w:tr>
      <w:tr>
        <w:tc>
          <w:tcPr>
            <w:tcW w:type="dxa" w:w="4896"/>
            <w:shd w:fill="F4F1EA" w:val="clear"/>
          </w:tcPr>
          <w:p>
            <w:r/>
            <w:r>
              <w:rPr>
                <w:rFonts w:ascii="Calibri" w:hAnsi="Calibri" w:eastAsia="Calibri"/>
                <w:b w:val="0"/>
                <w:i w:val="0"/>
                <w:color w:val="222222"/>
                <w:sz w:val="18"/>
              </w:rPr>
              <w:t>Ramadan</w:t>
            </w:r>
          </w:p>
        </w:tc>
        <w:tc>
          <w:tcPr>
            <w:tcW w:type="dxa" w:w="4896"/>
            <w:shd w:fill="F4F1EA" w:val="clear"/>
          </w:tcPr>
          <w:p>
            <w:r/>
            <w:r>
              <w:rPr>
                <w:rFonts w:ascii="Calibri" w:hAnsi="Calibri" w:eastAsia="Calibri"/>
                <w:b w:val="0"/>
                <w:i w:val="0"/>
                <w:color w:val="222222"/>
                <w:sz w:val="18"/>
              </w:rPr>
              <w:t>named month of tanzil</w:t>
            </w:r>
          </w:p>
        </w:tc>
      </w:tr>
      <w:tr>
        <w:tc>
          <w:tcPr>
            <w:tcW w:type="dxa" w:w="4896"/>
          </w:tcPr>
          <w:p>
            <w:r/>
            <w:r>
              <w:rPr>
                <w:rFonts w:ascii="Calibri" w:hAnsi="Calibri" w:eastAsia="Calibri"/>
                <w:b w:val="0"/>
                <w:i w:val="0"/>
                <w:color w:val="222222"/>
                <w:sz w:val="18"/>
              </w:rPr>
              <w:t>furqan</w:t>
            </w:r>
          </w:p>
        </w:tc>
        <w:tc>
          <w:tcPr>
            <w:tcW w:type="dxa" w:w="4896"/>
          </w:tcPr>
          <w:p>
            <w:r/>
            <w:r>
              <w:rPr>
                <w:rFonts w:ascii="Calibri" w:hAnsi="Calibri" w:eastAsia="Calibri"/>
                <w:b w:val="0"/>
                <w:i w:val="0"/>
                <w:color w:val="222222"/>
                <w:sz w:val="18"/>
              </w:rPr>
              <w:t>criterion / separation</w:t>
            </w:r>
          </w:p>
        </w:tc>
      </w:tr>
      <w:tr>
        <w:tc>
          <w:tcPr>
            <w:tcW w:type="dxa" w:w="4896"/>
            <w:shd w:fill="F4F1EA" w:val="clear"/>
          </w:tcPr>
          <w:p>
            <w:r/>
            <w:r>
              <w:rPr>
                <w:rFonts w:ascii="Calibri" w:hAnsi="Calibri" w:eastAsia="Calibri"/>
                <w:b w:val="0"/>
                <w:i w:val="0"/>
                <w:color w:val="222222"/>
                <w:sz w:val="18"/>
              </w:rPr>
              <w:t>al-khayt al-abyad / al-aswad</w:t>
            </w:r>
          </w:p>
        </w:tc>
        <w:tc>
          <w:tcPr>
            <w:tcW w:type="dxa" w:w="4896"/>
            <w:shd w:fill="F4F1EA" w:val="clear"/>
          </w:tcPr>
          <w:p>
            <w:r/>
            <w:r>
              <w:rPr>
                <w:rFonts w:ascii="Calibri" w:hAnsi="Calibri" w:eastAsia="Calibri"/>
                <w:b w:val="0"/>
                <w:i w:val="0"/>
                <w:color w:val="222222"/>
                <w:sz w:val="18"/>
              </w:rPr>
              <w:t>white/black thread of dawn</w:t>
            </w:r>
          </w:p>
        </w:tc>
      </w:tr>
      <w:tr>
        <w:tc>
          <w:tcPr>
            <w:tcW w:type="dxa" w:w="4896"/>
          </w:tcPr>
          <w:p>
            <w:r/>
            <w:r>
              <w:rPr>
                <w:rFonts w:ascii="Calibri" w:hAnsi="Calibri" w:eastAsia="Calibri"/>
                <w:b w:val="0"/>
                <w:i w:val="0"/>
                <w:color w:val="222222"/>
                <w:sz w:val="18"/>
              </w:rPr>
              <w:t>fitnah</w:t>
            </w:r>
          </w:p>
        </w:tc>
        <w:tc>
          <w:tcPr>
            <w:tcW w:type="dxa" w:w="4896"/>
          </w:tcPr>
          <w:p>
            <w:r/>
            <w:r>
              <w:rPr>
                <w:rFonts w:ascii="Calibri" w:hAnsi="Calibri" w:eastAsia="Calibri"/>
                <w:b w:val="0"/>
                <w:i w:val="0"/>
                <w:color w:val="222222"/>
                <w:sz w:val="18"/>
              </w:rPr>
              <w:t>trial / persecution / sedition — sense argued</w:t>
            </w:r>
          </w:p>
        </w:tc>
      </w:tr>
      <w:tr>
        <w:tc>
          <w:tcPr>
            <w:tcW w:type="dxa" w:w="4896"/>
            <w:shd w:fill="F4F1EA" w:val="clear"/>
          </w:tcPr>
          <w:p>
            <w:r/>
            <w:r>
              <w:rPr>
                <w:rFonts w:ascii="Calibri" w:hAnsi="Calibri" w:eastAsia="Calibri"/>
                <w:b w:val="0"/>
                <w:i w:val="0"/>
                <w:color w:val="222222"/>
                <w:sz w:val="18"/>
              </w:rPr>
              <w:t>la tulqu bi-aydikum ila l-tahluka</w:t>
            </w:r>
          </w:p>
        </w:tc>
        <w:tc>
          <w:tcPr>
            <w:tcW w:type="dxa" w:w="4896"/>
            <w:shd w:fill="F4F1EA" w:val="clear"/>
          </w:tcPr>
          <w:p>
            <w:r/>
            <w:r>
              <w:rPr>
                <w:rFonts w:ascii="Calibri" w:hAnsi="Calibri" w:eastAsia="Calibri"/>
                <w:b w:val="0"/>
                <w:i w:val="0"/>
                <w:color w:val="222222"/>
                <w:sz w:val="18"/>
              </w:rPr>
              <w:t>do not throw yourselves to destruction</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QB-0045</w:t>
            </w:r>
          </w:p>
        </w:tc>
        <w:tc>
          <w:tcPr>
            <w:tcW w:type="dxa" w:w="3264"/>
          </w:tcPr>
          <w:p>
            <w:r/>
            <w:r>
              <w:rPr>
                <w:rFonts w:ascii="Calibri" w:hAnsi="Calibri" w:eastAsia="Calibri"/>
                <w:b w:val="0"/>
                <w:i w:val="0"/>
                <w:color w:val="222222"/>
                <w:sz w:val="18"/>
              </w:rPr>
              <w:t>Qisas // lex talionis</w:t>
            </w:r>
          </w:p>
        </w:tc>
        <w:tc>
          <w:tcPr>
            <w:tcW w:type="dxa" w:w="3264"/>
          </w:tcPr>
          <w:p>
            <w:r/>
            <w:r>
              <w:rPr>
                <w:rFonts w:ascii="Calibri" w:hAnsi="Calibri" w:eastAsia="Calibri"/>
                <w:b w:val="0"/>
                <w:i w:val="0"/>
                <w:color w:val="222222"/>
                <w:sz w:val="18"/>
              </w:rPr>
              <w:t>PARTIAL AGREEMENT with Exod 21 / Lev 24 / Deut 19; CONTRAST Matt 5:38–39; ADDITION of remission-as-mercy</w:t>
            </w:r>
          </w:p>
        </w:tc>
      </w:tr>
      <w:tr>
        <w:tc>
          <w:tcPr>
            <w:tcW w:type="dxa" w:w="3264"/>
            <w:shd w:fill="F4F1EA" w:val="clear"/>
          </w:tcPr>
          <w:p>
            <w:r/>
            <w:r>
              <w:rPr>
                <w:rFonts w:ascii="Calibri" w:hAnsi="Calibri" w:eastAsia="Calibri"/>
                <w:b w:val="0"/>
                <w:i w:val="0"/>
                <w:color w:val="222222"/>
                <w:sz w:val="18"/>
              </w:rPr>
              <w:t>QB-0046</w:t>
            </w:r>
          </w:p>
        </w:tc>
        <w:tc>
          <w:tcPr>
            <w:tcW w:type="dxa" w:w="3264"/>
            <w:shd w:fill="F4F1EA" w:val="clear"/>
          </w:tcPr>
          <w:p>
            <w:r/>
            <w:r>
              <w:rPr>
                <w:rFonts w:ascii="Calibri" w:hAnsi="Calibri" w:eastAsia="Calibri"/>
                <w:b w:val="0"/>
                <w:i w:val="0"/>
                <w:color w:val="222222"/>
                <w:sz w:val="18"/>
              </w:rPr>
              <w:t>Fasting as prior prescription; Ramadan as tanzil month</w:t>
            </w:r>
          </w:p>
        </w:tc>
        <w:tc>
          <w:tcPr>
            <w:tcW w:type="dxa" w:w="3264"/>
            <w:shd w:fill="F4F1EA" w:val="clear"/>
          </w:tcPr>
          <w:p>
            <w:r/>
            <w:r>
              <w:rPr>
                <w:rFonts w:ascii="Calibri" w:hAnsi="Calibri" w:eastAsia="Calibri"/>
                <w:b w:val="0"/>
                <w:i w:val="0"/>
                <w:color w:val="222222"/>
                <w:sz w:val="18"/>
              </w:rPr>
              <w:t>PARTIAL AGREEMENT on fasting as inherited; ADDITION of named month + Quran descent</w:t>
            </w:r>
          </w:p>
        </w:tc>
      </w:tr>
      <w:tr>
        <w:tc>
          <w:tcPr>
            <w:tcW w:type="dxa" w:w="3264"/>
          </w:tcPr>
          <w:p>
            <w:r/>
            <w:r>
              <w:rPr>
                <w:rFonts w:ascii="Calibri" w:hAnsi="Calibri" w:eastAsia="Calibri"/>
                <w:b w:val="0"/>
                <w:i w:val="0"/>
                <w:color w:val="222222"/>
                <w:sz w:val="18"/>
              </w:rPr>
              <w:t>QB-0047</w:t>
            </w:r>
          </w:p>
        </w:tc>
        <w:tc>
          <w:tcPr>
            <w:tcW w:type="dxa" w:w="3264"/>
          </w:tcPr>
          <w:p>
            <w:r/>
            <w:r>
              <w:rPr>
                <w:rFonts w:ascii="Calibri" w:hAnsi="Calibri" w:eastAsia="Calibri"/>
                <w:b w:val="0"/>
                <w:i w:val="0"/>
                <w:color w:val="222222"/>
                <w:sz w:val="18"/>
              </w:rPr>
              <w:t>Fight those who fight you; fitnah worse than killing</w:t>
            </w:r>
          </w:p>
        </w:tc>
        <w:tc>
          <w:tcPr>
            <w:tcW w:type="dxa" w:w="3264"/>
          </w:tcPr>
          <w:p>
            <w:r/>
            <w:r>
              <w:rPr>
                <w:rFonts w:ascii="Calibri" w:hAnsi="Calibri" w:eastAsia="Calibri"/>
                <w:b w:val="0"/>
                <w:i w:val="0"/>
                <w:color w:val="222222"/>
                <w:sz w:val="18"/>
              </w:rPr>
              <w:t>PARTIAL AGREEMENT with reciprocal HB war frames; two clauses (190 limiter / 193 purpose) must both stay visible</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Near; answers the caller; wants ease; relents; does not love transgressors; with the muttaqin.</w:t>
            </w:r>
          </w:p>
        </w:tc>
      </w:tr>
      <w:tr>
        <w:tc>
          <w:tcPr>
            <w:tcW w:type="dxa" w:w="4896"/>
            <w:shd w:fill="F4F1EA" w:val="clear"/>
          </w:tcPr>
          <w:p>
            <w:r/>
            <w:r>
              <w:rPr>
                <w:rFonts w:ascii="Calibri" w:hAnsi="Calibri" w:eastAsia="Calibri"/>
                <w:b w:val="0"/>
                <w:i w:val="0"/>
                <w:color w:val="222222"/>
                <w:sz w:val="18"/>
              </w:rPr>
              <w:t>0005</w:t>
            </w:r>
          </w:p>
        </w:tc>
        <w:tc>
          <w:tcPr>
            <w:tcW w:type="dxa" w:w="4896"/>
            <w:shd w:fill="F4F1EA" w:val="clear"/>
          </w:tcPr>
          <w:p>
            <w:r/>
            <w:r>
              <w:rPr>
                <w:rFonts w:ascii="Calibri" w:hAnsi="Calibri" w:eastAsia="Calibri"/>
                <w:b w:val="0"/>
                <w:i w:val="0"/>
                <w:color w:val="222222"/>
                <w:sz w:val="18"/>
              </w:rPr>
              <w:t>Quran sent down in Ramadan as guidance, proofs, furqan.</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Qisas, bequest, fasting rules, property/judges, fighting limits and purposes, sacred-month reciprocity.</w:t>
            </w:r>
          </w:p>
        </w:tc>
      </w:tr>
      <w:tr>
        <w:tc>
          <w:tcPr>
            <w:tcW w:type="dxa" w:w="4896"/>
            <w:shd w:fill="F4F1EA" w:val="clear"/>
          </w:tcPr>
          <w:p>
            <w:r/>
            <w:r>
              <w:rPr>
                <w:rFonts w:ascii="Calibri" w:hAnsi="Calibri" w:eastAsia="Calibri"/>
                <w:b w:val="0"/>
                <w:i w:val="0"/>
                <w:color w:val="222222"/>
                <w:sz w:val="18"/>
              </w:rPr>
              <w:t>0008</w:t>
            </w:r>
          </w:p>
        </w:tc>
        <w:tc>
          <w:tcPr>
            <w:tcW w:type="dxa" w:w="4896"/>
            <w:shd w:fill="F4F1EA" w:val="clear"/>
          </w:tcPr>
          <w:p>
            <w:r/>
            <w:r>
              <w:rPr>
                <w:rFonts w:ascii="Calibri" w:hAnsi="Calibri" w:eastAsia="Calibri"/>
                <w:b w:val="0"/>
                <w:i w:val="0"/>
                <w:color w:val="222222"/>
                <w:sz w:val="18"/>
              </w:rPr>
              <w:t>In qisas is life; if they cease God is forgiving; do not throw yourselves to destruction.</w:t>
            </w:r>
          </w:p>
        </w:tc>
      </w:tr>
    </w:tbl>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QDISC-0060</w:t>
            </w:r>
          </w:p>
        </w:tc>
        <w:tc>
          <w:tcPr>
            <w:tcW w:type="dxa" w:w="3264"/>
          </w:tcPr>
          <w:p>
            <w:r/>
            <w:r>
              <w:rPr>
                <w:rFonts w:ascii="Calibri" w:hAnsi="Calibri" w:eastAsia="Calibri"/>
                <w:b w:val="0"/>
                <w:i w:val="0"/>
                <w:color w:val="222222"/>
                <w:sz w:val="18"/>
              </w:rPr>
              <w:t>Qisas prescribed; remission; in qisas is life</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QDISC-0061</w:t>
            </w:r>
          </w:p>
        </w:tc>
        <w:tc>
          <w:tcPr>
            <w:tcW w:type="dxa" w:w="3264"/>
            <w:shd w:fill="F4F1EA" w:val="clear"/>
          </w:tcPr>
          <w:p>
            <w:r/>
            <w:r>
              <w:rPr>
                <w:rFonts w:ascii="Calibri" w:hAnsi="Calibri" w:eastAsia="Calibri"/>
                <w:b w:val="0"/>
                <w:i w:val="0"/>
                <w:color w:val="222222"/>
                <w:sz w:val="18"/>
              </w:rPr>
              <w:t>Bequest for parents and kin with ma'ruf</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QDISC-0062</w:t>
            </w:r>
          </w:p>
        </w:tc>
        <w:tc>
          <w:tcPr>
            <w:tcW w:type="dxa" w:w="3264"/>
          </w:tcPr>
          <w:p>
            <w:r/>
            <w:r>
              <w:rPr>
                <w:rFonts w:ascii="Calibri" w:hAnsi="Calibri" w:eastAsia="Calibri"/>
                <w:b w:val="0"/>
                <w:i w:val="0"/>
                <w:color w:val="222222"/>
                <w:sz w:val="18"/>
              </w:rPr>
              <w:t>Fasting prescribed as on those before; Ramadan is tanzil month; God is near</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QDISC-0063</w:t>
            </w:r>
          </w:p>
        </w:tc>
        <w:tc>
          <w:tcPr>
            <w:tcW w:type="dxa" w:w="3264"/>
            <w:shd w:fill="F4F1EA" w:val="clear"/>
          </w:tcPr>
          <w:p>
            <w:r/>
            <w:r>
              <w:rPr>
                <w:rFonts w:ascii="Calibri" w:hAnsi="Calibri" w:eastAsia="Calibri"/>
                <w:b w:val="0"/>
                <w:i w:val="0"/>
                <w:color w:val="222222"/>
                <w:sz w:val="18"/>
              </w:rPr>
              <w:t>Fight those who fight you; no transgression; fitnah worse than killing; until din is for God</w:t>
            </w:r>
          </w:p>
        </w:tc>
        <w:tc>
          <w:tcPr>
            <w:tcW w:type="dxa" w:w="3264"/>
            <w:shd w:fill="F4F1EA" w:val="clear"/>
          </w:tcPr>
          <w:p>
            <w:r/>
            <w:r>
              <w:rPr>
                <w:rFonts w:ascii="Calibri" w:hAnsi="Calibri" w:eastAsia="Calibri"/>
                <w:b w:val="0"/>
                <w:i w:val="0"/>
                <w:color w:val="222222"/>
                <w:sz w:val="18"/>
              </w:rPr>
              <w:t>DIRECT; two clauses</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Law arrives in a cluster: equivalent retaliation with a mercy-offramp, a deathbed bequest, a fast like those before you now pinned to Ramaḍān as the Quran’s month, a near God who answers, then a fight-cluster that both limits combat to those who fight you and states a purpose until fitnah is gone and dīn is God’s. Both clauses belong in the record.</w:t>
      </w:r>
    </w:p>
    <w:p>
      <w:pPr>
        <w:spacing w:after="160"/>
      </w:pPr>
      <w:r>
        <w:rPr>
          <w:rFonts w:ascii="Calibri" w:hAnsi="Calibri" w:eastAsia="Calibri"/>
          <w:b w:val="0"/>
          <w:i w:val="0"/>
          <w:color w:val="222222"/>
          <w:sz w:val="22"/>
        </w:rPr>
        <w:t>Next: 2:196–203 (ḥajj / ʿumrah) then 2:204–214, or 2:196–214 if kept as one pilgrimage-plus-hypocrite packet.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CP11 vv178-195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CP11 vv178-195</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