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CP14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2:228–242 (15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Divorced women wait three qurūʾ; they must not hide what God created in their wombs. Husbands have more right to return them in that period if they want iṣlāḥ. Women have the like of what is due from them with maʿrūf; men have a daraja over them. Ṭalāq is twice; then hold with maʿrūf or release with iḥsān. You may not take back what you gave them unless both fear they cannot keep God’s limits; then no blame in what she ransoms herself with (khulʿ). If he divorces her (third), she is not lawful to him until she marries another husband; if that one divorces her, no blame if they return if they think they can keep the limits. When you divorce women and they reach their term, hold them with maʿrūf or release with maʿrūf; do not hold them as harm to transgress. Whoever does that wrongs himself. Do not take God’s signs in mockery. When you divorce and they reach term, do not prevent them from remarrying their husbands if they agree with maʿrūf. That is purer for you. Mothers nurse two full years if the nursing is to be completed; the child’s father must provision and clothe the mother with maʿrūf; no soul is charged beyond its scope; no mother or father to be harmed because of the child; the heir has the like. Weaning by mutual consent: no blame. Hiring a wet-nurse: no blame if you hand over what you give with maʿrūf. Those of you who die and leave wives: the wives wait four months and ten; when they reach term, no blame on you for what they do with themselves with maʿrūf. No blame in alluding to a marriage proposal to women or keeping it inward, but do not make a secret pact except to speak a maʿrūf word; do not resolve the knot of marriage until the term is reached. There is no blame if you divorce women before touching them or assigning a farīḍa; assign them mutʿa — the well-off according to his means, the straitened according to his — a duty on the muḥsinīn. If you divorce before touching but after a farīḍa is assigned, then half of what you assigned unless they waive or he in whose hand is the marriage-knot waives; waiving is nearer to taqwā. Guard the prayers, especially the middle prayer; stand for God qānitīn. If you fear, then on foot or riding; when you are safe, remember God as He taught you what you did not know. Those of you who die and leave wives: a bequest for their wives of provision to a year without eviction; if they leave, no blame for what they do with themselves with maʿrūf. For the divorced: a provision with maʿrūf, a duty on the muttaqīn. Thus God makes clear His signs so that you may reason.</w:t>
      </w:r>
    </w:p>
    <w:p>
      <w:pPr>
        <w:pStyle w:val="Heading1"/>
      </w:pPr>
      <w:r>
        <w:rPr>
          <w:rFonts w:ascii="Calibri" w:hAnsi="Calibri"/>
          <w:color w:val="1B3A4B"/>
        </w:rPr>
        <w:t>2–3. Investigation</w:t>
      </w:r>
    </w:p>
    <w:p>
      <w:pPr>
        <w:pStyle w:val="Heading2"/>
      </w:pPr>
      <w:r>
        <w:rPr>
          <w:rFonts w:ascii="Calibri" w:hAnsi="Calibri"/>
          <w:color w:val="1B3A4B"/>
        </w:rPr>
        <w:t>2:228 waiting and daraja</w:t>
      </w:r>
    </w:p>
    <w:p>
      <w:pPr>
        <w:spacing w:after="160"/>
      </w:pPr>
      <w:r>
        <w:rPr>
          <w:rFonts w:ascii="Calibri" w:hAnsi="Calibri" w:eastAsia="Calibri"/>
          <w:b w:val="0"/>
          <w:i w:val="0"/>
          <w:color w:val="222222"/>
          <w:sz w:val="22"/>
        </w:rPr>
        <w:t>Three qurūʾ (purity-cycles or menses — the word is argued). Concealment of pregnancy forbidden. Husband’s return-right in the period if he wants reconciliation. Lahunna mithlu lladhī ʿalayhinna bi-l-maʿrūf — a reciprocity clause. Wa-li-l-rijāli ʿalayhinna darajatun — a degree. Both sentences are Level 1. Later fiqh loads “degree” with qiwāma from 4:34; do not import 4:34 yet.</w:t>
      </w:r>
    </w:p>
    <w:p>
      <w:pPr>
        <w:pStyle w:val="Heading2"/>
      </w:pPr>
      <w:r>
        <w:rPr>
          <w:rFonts w:ascii="Calibri" w:hAnsi="Calibri"/>
          <w:color w:val="1B3A4B"/>
        </w:rPr>
        <w:t>2:229–232 twice, then third; do not block remarriage</w:t>
      </w:r>
    </w:p>
    <w:p>
      <w:pPr>
        <w:spacing w:after="160"/>
      </w:pPr>
      <w:r>
        <w:rPr>
          <w:rFonts w:ascii="Calibri" w:hAnsi="Calibri" w:eastAsia="Calibri"/>
          <w:b w:val="0"/>
          <w:i w:val="0"/>
          <w:color w:val="222222"/>
          <w:sz w:val="22"/>
        </w:rPr>
        <w:t>Divorce is twice; then retain with maʿrūf or release with iḥsān. Taking back gifts is barred except khulʿ when both fear they cannot keep ḥudūd. After a third divorce she is not lawful until she marries another husband; if that marriage ends, return to the first is allowed if they think they can keep the limits. Hold or release at term with maʿrūf; holding as ḍirār is transgression. Do not prevent women from remarrying their (former) husbands when they agree with maʿrūf.</w:t>
      </w:r>
    </w:p>
    <w:p>
      <w:pPr>
        <w:spacing w:after="160"/>
      </w:pPr>
      <w:r>
        <w:rPr>
          <w:rFonts w:ascii="Calibri" w:hAnsi="Calibri" w:eastAsia="Calibri"/>
          <w:b w:val="0"/>
          <w:i w:val="0"/>
          <w:color w:val="222222"/>
          <w:sz w:val="22"/>
        </w:rPr>
        <w:t>QB-0055 vs Deut 24:1–4: both are divorce-and-remarriage laws. Torah: if she marries another and that ends, she may not return to the first (it is tōʿēbāh). Quran 2:230: after the third ṭalāq she may not return to the first until she has married another; after that other marriage ends, return is allowed. That is an inversion of Deut 24’s final ban. PARTIAL AGREEMENT that divorce is a legal institution with limits; DIRECT CONTRAST on the intervening-marriage rule. Ṭalāq-twice-then-third is ADDITION relative to Deut 24’s simpler “bill of divorce.”</w:t>
      </w:r>
    </w:p>
    <w:p>
      <w:pPr>
        <w:pStyle w:val="Heading2"/>
      </w:pPr>
      <w:r>
        <w:rPr>
          <w:rFonts w:ascii="Calibri" w:hAnsi="Calibri"/>
          <w:color w:val="1B3A4B"/>
        </w:rPr>
        <w:t>2:233 nursing</w:t>
      </w:r>
    </w:p>
    <w:p>
      <w:pPr>
        <w:spacing w:after="160"/>
      </w:pPr>
      <w:r>
        <w:rPr>
          <w:rFonts w:ascii="Calibri" w:hAnsi="Calibri" w:eastAsia="Calibri"/>
          <w:b w:val="0"/>
          <w:i w:val="0"/>
          <w:color w:val="222222"/>
          <w:sz w:val="22"/>
        </w:rPr>
        <w:t>Two full years if completion is desired. Father’s duty: provision and clothing of the mother with maʿrūf. No soul charged beyond capacity. Neither parent harmed via the child. Heir carries a similar duty. Mutual weaning: no blame. Paid wet-nurse: no blame. This is child-maintenance law, not only ritual.</w:t>
      </w:r>
    </w:p>
    <w:p>
      <w:pPr>
        <w:pStyle w:val="Heading2"/>
      </w:pPr>
      <w:r>
        <w:rPr>
          <w:rFonts w:ascii="Calibri" w:hAnsi="Calibri"/>
          <w:color w:val="1B3A4B"/>
        </w:rPr>
        <w:t>2:234–235 widows</w:t>
      </w:r>
    </w:p>
    <w:p>
      <w:pPr>
        <w:spacing w:after="160"/>
      </w:pPr>
      <w:r>
        <w:rPr>
          <w:rFonts w:ascii="Calibri" w:hAnsi="Calibri" w:eastAsia="Calibri"/>
          <w:b w:val="0"/>
          <w:i w:val="0"/>
          <w:color w:val="222222"/>
          <w:sz w:val="22"/>
        </w:rPr>
        <w:t>Four months and ten. After term, they may act with themselves with maʿrūf. Proposal by allusion is allowed; secret contract is not, except a maʿrūf word. Do not finalize marriage until the term ends. God knows what you hide.</w:t>
      </w:r>
    </w:p>
    <w:p>
      <w:pPr>
        <w:pStyle w:val="Heading2"/>
      </w:pPr>
      <w:r>
        <w:rPr>
          <w:rFonts w:ascii="Calibri" w:hAnsi="Calibri"/>
          <w:color w:val="1B3A4B"/>
        </w:rPr>
        <w:t>2:236–237 unconsummated divorce</w:t>
      </w:r>
    </w:p>
    <w:p>
      <w:pPr>
        <w:spacing w:after="160"/>
      </w:pPr>
      <w:r>
        <w:rPr>
          <w:rFonts w:ascii="Calibri" w:hAnsi="Calibri" w:eastAsia="Calibri"/>
          <w:b w:val="0"/>
          <w:i w:val="0"/>
          <w:color w:val="222222"/>
          <w:sz w:val="22"/>
        </w:rPr>
        <w:t>Divorce before touch and before a named farīḍa: still give mutʿa according to means — duty on the muḥsinīn. If a farīḍa was named: half, unless she waives or he who holds the knot waives. Waiving is nearer taqwā. Do not forget bounty between you.</w:t>
      </w:r>
    </w:p>
    <w:p>
      <w:pPr>
        <w:pStyle w:val="Heading2"/>
      </w:pPr>
      <w:r>
        <w:rPr>
          <w:rFonts w:ascii="Calibri" w:hAnsi="Calibri"/>
          <w:color w:val="1B3A4B"/>
        </w:rPr>
        <w:t>2:238–239 prayer inserted</w:t>
      </w:r>
    </w:p>
    <w:p>
      <w:pPr>
        <w:spacing w:after="160"/>
      </w:pPr>
      <w:r>
        <w:rPr>
          <w:rFonts w:ascii="Calibri" w:hAnsi="Calibri" w:eastAsia="Calibri"/>
          <w:b w:val="0"/>
          <w:i w:val="0"/>
          <w:color w:val="222222"/>
          <w:sz w:val="22"/>
        </w:rPr>
        <w:t>Guard the ṣalawāt and the middle prayer; stand qānitīn. Fear: pray walking or riding; when safe, remember God as He taught you. A cult-command dropped into family law — typical Baqarah texture.</w:t>
      </w:r>
    </w:p>
    <w:p>
      <w:pPr>
        <w:pStyle w:val="Heading2"/>
      </w:pPr>
      <w:r>
        <w:rPr>
          <w:rFonts w:ascii="Calibri" w:hAnsi="Calibri"/>
          <w:color w:val="1B3A4B"/>
        </w:rPr>
        <w:t>2:240–242 year-provision and divorced provision</w:t>
      </w:r>
    </w:p>
    <w:p>
      <w:pPr>
        <w:spacing w:after="160"/>
      </w:pPr>
      <w:r>
        <w:rPr>
          <w:rFonts w:ascii="Calibri" w:hAnsi="Calibri" w:eastAsia="Calibri"/>
          <w:b w:val="0"/>
          <w:i w:val="0"/>
          <w:color w:val="222222"/>
          <w:sz w:val="22"/>
        </w:rPr>
        <w:t>Dying husbands: a waṣiyya of one year’s provision without eviction; if the widows leave, no blame. Divorced women: a provision with maʿrūf, duty on the muttaqīn. Relation of 2:240’s year to 2:234’s four-months-ten is a classic naskh debate (Level 4). Level 1: both sentences exist.</w:t>
      </w:r>
    </w:p>
    <w:p>
      <w:pPr>
        <w:pStyle w:val="Heading1"/>
      </w:pPr>
      <w:r>
        <w:rPr>
          <w:rFonts w:ascii="Calibri" w:hAnsi="Calibri"/>
          <w:color w:val="1B3A4B"/>
        </w:rPr>
        <w:t>4–9. Language, comparison, QRQ,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quru'</w:t>
            </w:r>
          </w:p>
        </w:tc>
        <w:tc>
          <w:tcPr>
            <w:tcW w:type="dxa" w:w="4896"/>
          </w:tcPr>
          <w:p>
            <w:r/>
            <w:r>
              <w:rPr>
                <w:rFonts w:ascii="Calibri" w:hAnsi="Calibri" w:eastAsia="Calibri"/>
                <w:b w:val="0"/>
                <w:i w:val="0"/>
                <w:color w:val="222222"/>
                <w:sz w:val="18"/>
              </w:rPr>
              <w:t>waiting units — menses or tuhr, argued</w:t>
            </w:r>
          </w:p>
        </w:tc>
      </w:tr>
      <w:tr>
        <w:tc>
          <w:tcPr>
            <w:tcW w:type="dxa" w:w="4896"/>
            <w:shd w:fill="F4F1EA" w:val="clear"/>
          </w:tcPr>
          <w:p>
            <w:r/>
            <w:r>
              <w:rPr>
                <w:rFonts w:ascii="Calibri" w:hAnsi="Calibri" w:eastAsia="Calibri"/>
                <w:b w:val="0"/>
                <w:i w:val="0"/>
                <w:color w:val="222222"/>
                <w:sz w:val="18"/>
              </w:rPr>
              <w:t>daraja</w:t>
            </w:r>
          </w:p>
        </w:tc>
        <w:tc>
          <w:tcPr>
            <w:tcW w:type="dxa" w:w="4896"/>
            <w:shd w:fill="F4F1EA" w:val="clear"/>
          </w:tcPr>
          <w:p>
            <w:r/>
            <w:r>
              <w:rPr>
                <w:rFonts w:ascii="Calibri" w:hAnsi="Calibri" w:eastAsia="Calibri"/>
                <w:b w:val="0"/>
                <w:i w:val="0"/>
                <w:color w:val="222222"/>
                <w:sz w:val="18"/>
              </w:rPr>
              <w:t>degree / step</w:t>
            </w:r>
          </w:p>
        </w:tc>
      </w:tr>
      <w:tr>
        <w:tc>
          <w:tcPr>
            <w:tcW w:type="dxa" w:w="4896"/>
          </w:tcPr>
          <w:p>
            <w:r/>
            <w:r>
              <w:rPr>
                <w:rFonts w:ascii="Calibri" w:hAnsi="Calibri" w:eastAsia="Calibri"/>
                <w:b w:val="0"/>
                <w:i w:val="0"/>
                <w:color w:val="222222"/>
                <w:sz w:val="18"/>
              </w:rPr>
              <w:t>talaq marratani</w:t>
            </w:r>
          </w:p>
        </w:tc>
        <w:tc>
          <w:tcPr>
            <w:tcW w:type="dxa" w:w="4896"/>
          </w:tcPr>
          <w:p>
            <w:r/>
            <w:r>
              <w:rPr>
                <w:rFonts w:ascii="Calibri" w:hAnsi="Calibri" w:eastAsia="Calibri"/>
                <w:b w:val="0"/>
                <w:i w:val="0"/>
                <w:color w:val="222222"/>
                <w:sz w:val="18"/>
              </w:rPr>
              <w:t>divorce is twice</w:t>
            </w:r>
          </w:p>
        </w:tc>
      </w:tr>
      <w:tr>
        <w:tc>
          <w:tcPr>
            <w:tcW w:type="dxa" w:w="4896"/>
            <w:shd w:fill="F4F1EA" w:val="clear"/>
          </w:tcPr>
          <w:p>
            <w:r/>
            <w:r>
              <w:rPr>
                <w:rFonts w:ascii="Calibri" w:hAnsi="Calibri" w:eastAsia="Calibri"/>
                <w:b w:val="0"/>
                <w:i w:val="0"/>
                <w:color w:val="222222"/>
                <w:sz w:val="18"/>
              </w:rPr>
              <w:t>khul'</w:t>
            </w:r>
          </w:p>
        </w:tc>
        <w:tc>
          <w:tcPr>
            <w:tcW w:type="dxa" w:w="4896"/>
            <w:shd w:fill="F4F1EA" w:val="clear"/>
          </w:tcPr>
          <w:p>
            <w:r/>
            <w:r>
              <w:rPr>
                <w:rFonts w:ascii="Calibri" w:hAnsi="Calibri" w:eastAsia="Calibri"/>
                <w:b w:val="0"/>
                <w:i w:val="0"/>
                <w:color w:val="222222"/>
                <w:sz w:val="18"/>
              </w:rPr>
              <w:t>ransom-release (she gives back)</w:t>
            </w:r>
          </w:p>
        </w:tc>
      </w:tr>
      <w:tr>
        <w:tc>
          <w:tcPr>
            <w:tcW w:type="dxa" w:w="4896"/>
          </w:tcPr>
          <w:p>
            <w:r/>
            <w:r>
              <w:rPr>
                <w:rFonts w:ascii="Calibri" w:hAnsi="Calibri" w:eastAsia="Calibri"/>
                <w:b w:val="0"/>
                <w:i w:val="0"/>
                <w:color w:val="222222"/>
                <w:sz w:val="18"/>
              </w:rPr>
              <w:t>tunkihu zawjan ghayrahu</w:t>
            </w:r>
          </w:p>
        </w:tc>
        <w:tc>
          <w:tcPr>
            <w:tcW w:type="dxa" w:w="4896"/>
          </w:tcPr>
          <w:p>
            <w:r/>
            <w:r>
              <w:rPr>
                <w:rFonts w:ascii="Calibri" w:hAnsi="Calibri" w:eastAsia="Calibri"/>
                <w:b w:val="0"/>
                <w:i w:val="0"/>
                <w:color w:val="222222"/>
                <w:sz w:val="18"/>
              </w:rPr>
              <w:t>until she marries a husband other than him</w:t>
            </w:r>
          </w:p>
        </w:tc>
      </w:tr>
      <w:tr>
        <w:tc>
          <w:tcPr>
            <w:tcW w:type="dxa" w:w="4896"/>
            <w:shd w:fill="F4F1EA" w:val="clear"/>
          </w:tcPr>
          <w:p>
            <w:r/>
            <w:r>
              <w:rPr>
                <w:rFonts w:ascii="Calibri" w:hAnsi="Calibri" w:eastAsia="Calibri"/>
                <w:b w:val="0"/>
                <w:i w:val="0"/>
                <w:color w:val="222222"/>
                <w:sz w:val="18"/>
              </w:rPr>
              <w:t>dirar</w:t>
            </w:r>
          </w:p>
        </w:tc>
        <w:tc>
          <w:tcPr>
            <w:tcW w:type="dxa" w:w="4896"/>
            <w:shd w:fill="F4F1EA" w:val="clear"/>
          </w:tcPr>
          <w:p>
            <w:r/>
            <w:r>
              <w:rPr>
                <w:rFonts w:ascii="Calibri" w:hAnsi="Calibri" w:eastAsia="Calibri"/>
                <w:b w:val="0"/>
                <w:i w:val="0"/>
                <w:color w:val="222222"/>
                <w:sz w:val="18"/>
              </w:rPr>
              <w:t>harm used as a tactic</w:t>
            </w:r>
          </w:p>
        </w:tc>
      </w:tr>
      <w:tr>
        <w:tc>
          <w:tcPr>
            <w:tcW w:type="dxa" w:w="4896"/>
          </w:tcPr>
          <w:p>
            <w:r/>
            <w:r>
              <w:rPr>
                <w:rFonts w:ascii="Calibri" w:hAnsi="Calibri" w:eastAsia="Calibri"/>
                <w:b w:val="0"/>
                <w:i w:val="0"/>
                <w:color w:val="222222"/>
                <w:sz w:val="18"/>
              </w:rPr>
              <w:t>rada'a / fisal</w:t>
            </w:r>
          </w:p>
        </w:tc>
        <w:tc>
          <w:tcPr>
            <w:tcW w:type="dxa" w:w="4896"/>
          </w:tcPr>
          <w:p>
            <w:r/>
            <w:r>
              <w:rPr>
                <w:rFonts w:ascii="Calibri" w:hAnsi="Calibri" w:eastAsia="Calibri"/>
                <w:b w:val="0"/>
                <w:i w:val="0"/>
                <w:color w:val="222222"/>
                <w:sz w:val="18"/>
              </w:rPr>
              <w:t>nursing / weaning</w:t>
            </w:r>
          </w:p>
        </w:tc>
      </w:tr>
      <w:tr>
        <w:tc>
          <w:tcPr>
            <w:tcW w:type="dxa" w:w="4896"/>
            <w:shd w:fill="F4F1EA" w:val="clear"/>
          </w:tcPr>
          <w:p>
            <w:r/>
            <w:r>
              <w:rPr>
                <w:rFonts w:ascii="Calibri" w:hAnsi="Calibri" w:eastAsia="Calibri"/>
                <w:b w:val="0"/>
                <w:i w:val="0"/>
                <w:color w:val="222222"/>
                <w:sz w:val="18"/>
              </w:rPr>
              <w:t>mut'a</w:t>
            </w:r>
          </w:p>
        </w:tc>
        <w:tc>
          <w:tcPr>
            <w:tcW w:type="dxa" w:w="4896"/>
            <w:shd w:fill="F4F1EA" w:val="clear"/>
          </w:tcPr>
          <w:p>
            <w:r/>
            <w:r>
              <w:rPr>
                <w:rFonts w:ascii="Calibri" w:hAnsi="Calibri" w:eastAsia="Calibri"/>
                <w:b w:val="0"/>
                <w:i w:val="0"/>
                <w:color w:val="222222"/>
                <w:sz w:val="18"/>
              </w:rPr>
              <w:t>consolatory gift after unconsummated divorce</w:t>
            </w:r>
          </w:p>
        </w:tc>
      </w:tr>
      <w:tr>
        <w:tc>
          <w:tcPr>
            <w:tcW w:type="dxa" w:w="4896"/>
          </w:tcPr>
          <w:p>
            <w:r/>
            <w:r>
              <w:rPr>
                <w:rFonts w:ascii="Calibri" w:hAnsi="Calibri" w:eastAsia="Calibri"/>
                <w:b w:val="0"/>
                <w:i w:val="0"/>
                <w:color w:val="222222"/>
                <w:sz w:val="18"/>
              </w:rPr>
              <w:t>al-salat al-wusta</w:t>
            </w:r>
          </w:p>
        </w:tc>
        <w:tc>
          <w:tcPr>
            <w:tcW w:type="dxa" w:w="4896"/>
          </w:tcPr>
          <w:p>
            <w:r/>
            <w:r>
              <w:rPr>
                <w:rFonts w:ascii="Calibri" w:hAnsi="Calibri" w:eastAsia="Calibri"/>
                <w:b w:val="0"/>
                <w:i w:val="0"/>
                <w:color w:val="222222"/>
                <w:sz w:val="18"/>
              </w:rPr>
              <w:t>the middle prayer</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QB-0055</w:t>
            </w:r>
          </w:p>
        </w:tc>
        <w:tc>
          <w:tcPr>
            <w:tcW w:type="dxa" w:w="3264"/>
          </w:tcPr>
          <w:p>
            <w:r/>
            <w:r>
              <w:rPr>
                <w:rFonts w:ascii="Calibri" w:hAnsi="Calibri" w:eastAsia="Calibri"/>
                <w:b w:val="0"/>
                <w:i w:val="0"/>
                <w:color w:val="222222"/>
                <w:sz w:val="18"/>
              </w:rPr>
              <w:t>Divorce-remarriage vs Deut 24:1–4</w:t>
            </w:r>
          </w:p>
        </w:tc>
        <w:tc>
          <w:tcPr>
            <w:tcW w:type="dxa" w:w="3264"/>
          </w:tcPr>
          <w:p>
            <w:r/>
            <w:r>
              <w:rPr>
                <w:rFonts w:ascii="Calibri" w:hAnsi="Calibri" w:eastAsia="Calibri"/>
                <w:b w:val="0"/>
                <w:i w:val="0"/>
                <w:color w:val="222222"/>
                <w:sz w:val="18"/>
              </w:rPr>
              <w:t>PARTIAL AGREEMENT that divorce is regulated; CONTRAST: intervening marriage is a bar to return in Torah and a condition of return after third talaq in 2:230</w:t>
            </w:r>
          </w:p>
        </w:tc>
      </w:tr>
      <w:tr>
        <w:tc>
          <w:tcPr>
            <w:tcW w:type="dxa" w:w="3264"/>
            <w:shd w:fill="F4F1EA" w:val="clear"/>
          </w:tcPr>
          <w:p>
            <w:r/>
            <w:r>
              <w:rPr>
                <w:rFonts w:ascii="Calibri" w:hAnsi="Calibri" w:eastAsia="Calibri"/>
                <w:b w:val="0"/>
                <w:i w:val="0"/>
                <w:color w:val="222222"/>
                <w:sz w:val="18"/>
              </w:rPr>
              <w:t>QB-0056</w:t>
            </w:r>
          </w:p>
        </w:tc>
        <w:tc>
          <w:tcPr>
            <w:tcW w:type="dxa" w:w="3264"/>
            <w:shd w:fill="F4F1EA" w:val="clear"/>
          </w:tcPr>
          <w:p>
            <w:r/>
            <w:r>
              <w:rPr>
                <w:rFonts w:ascii="Calibri" w:hAnsi="Calibri" w:eastAsia="Calibri"/>
                <w:b w:val="0"/>
                <w:i w:val="0"/>
                <w:color w:val="222222"/>
                <w:sz w:val="18"/>
              </w:rPr>
              <w:t>Waiting periods / widow term</w:t>
            </w:r>
          </w:p>
        </w:tc>
        <w:tc>
          <w:tcPr>
            <w:tcW w:type="dxa" w:w="3264"/>
            <w:shd w:fill="F4F1EA" w:val="clear"/>
          </w:tcPr>
          <w:p>
            <w:r/>
            <w:r>
              <w:rPr>
                <w:rFonts w:ascii="Calibri" w:hAnsi="Calibri" w:eastAsia="Calibri"/>
                <w:b w:val="0"/>
                <w:i w:val="0"/>
                <w:color w:val="222222"/>
                <w:sz w:val="18"/>
              </w:rPr>
              <w:t>ADDITION of numbered idda (3 quru'; 4 months 10 days). Torah widow law is levirate-centered (Deut 25), not this clock.</w:t>
            </w:r>
          </w:p>
        </w:tc>
      </w:tr>
      <w:tr>
        <w:tc>
          <w:tcPr>
            <w:tcW w:type="dxa" w:w="3264"/>
          </w:tcPr>
          <w:p>
            <w:r/>
            <w:r>
              <w:rPr>
                <w:rFonts w:ascii="Calibri" w:hAnsi="Calibri" w:eastAsia="Calibri"/>
                <w:b w:val="0"/>
                <w:i w:val="0"/>
                <w:color w:val="222222"/>
                <w:sz w:val="18"/>
              </w:rPr>
              <w:t>QB-0057</w:t>
            </w:r>
          </w:p>
        </w:tc>
        <w:tc>
          <w:tcPr>
            <w:tcW w:type="dxa" w:w="3264"/>
          </w:tcPr>
          <w:p>
            <w:r/>
            <w:r>
              <w:rPr>
                <w:rFonts w:ascii="Calibri" w:hAnsi="Calibri" w:eastAsia="Calibri"/>
                <w:b w:val="0"/>
                <w:i w:val="0"/>
                <w:color w:val="222222"/>
                <w:sz w:val="18"/>
              </w:rPr>
              <w:t>Nursing two years</w:t>
            </w:r>
          </w:p>
        </w:tc>
        <w:tc>
          <w:tcPr>
            <w:tcW w:type="dxa" w:w="3264"/>
          </w:tcPr>
          <w:p>
            <w:r/>
            <w:r>
              <w:rPr>
                <w:rFonts w:ascii="Calibri" w:hAnsi="Calibri" w:eastAsia="Calibri"/>
                <w:b w:val="0"/>
                <w:i w:val="0"/>
                <w:color w:val="222222"/>
                <w:sz w:val="18"/>
              </w:rPr>
              <w:t>PARTIAL AGREEMENT with long nursing as a known Near Eastern norm; not a Bible-verse match</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0007</w:t>
            </w:r>
          </w:p>
        </w:tc>
        <w:tc>
          <w:tcPr>
            <w:tcW w:type="dxa" w:w="4896"/>
          </w:tcPr>
          <w:p>
            <w:r/>
            <w:r>
              <w:rPr>
                <w:rFonts w:ascii="Calibri" w:hAnsi="Calibri" w:eastAsia="Calibri"/>
                <w:b w:val="0"/>
                <w:i w:val="0"/>
                <w:color w:val="222222"/>
                <w:sz w:val="18"/>
              </w:rPr>
              <w:t>Idda; twice-then-third; khul'; nursing duties; widow clocks; mut'a; middle prayer; year-provision.</w:t>
            </w:r>
          </w:p>
        </w:tc>
      </w:tr>
      <w:tr>
        <w:tc>
          <w:tcPr>
            <w:tcW w:type="dxa" w:w="4896"/>
            <w:shd w:fill="F4F1EA" w:val="clear"/>
          </w:tcPr>
          <w:p>
            <w:r/>
            <w:r>
              <w:rPr>
                <w:rFonts w:ascii="Calibri" w:hAnsi="Calibri" w:eastAsia="Calibri"/>
                <w:b w:val="0"/>
                <w:i w:val="0"/>
                <w:color w:val="222222"/>
                <w:sz w:val="18"/>
              </w:rPr>
              <w:t>0006</w:t>
            </w:r>
          </w:p>
        </w:tc>
        <w:tc>
          <w:tcPr>
            <w:tcW w:type="dxa" w:w="4896"/>
            <w:shd w:fill="F4F1EA" w:val="clear"/>
          </w:tcPr>
          <w:p>
            <w:r/>
            <w:r>
              <w:rPr>
                <w:rFonts w:ascii="Calibri" w:hAnsi="Calibri" w:eastAsia="Calibri"/>
                <w:b w:val="0"/>
                <w:i w:val="0"/>
                <w:color w:val="222222"/>
                <w:sz w:val="18"/>
              </w:rPr>
              <w:t>Ma'ruf / ihsan as the ethical floor of hold-or-release; waiving nearer taqwa.</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Limits of God; knows what you hide; makes signs clear so you reason.</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QDISC-0075</w:t>
            </w:r>
          </w:p>
        </w:tc>
        <w:tc>
          <w:tcPr>
            <w:tcW w:type="dxa" w:w="3264"/>
          </w:tcPr>
          <w:p>
            <w:r/>
            <w:r>
              <w:rPr>
                <w:rFonts w:ascii="Calibri" w:hAnsi="Calibri" w:eastAsia="Calibri"/>
                <w:b w:val="0"/>
                <w:i w:val="0"/>
                <w:color w:val="222222"/>
                <w:sz w:val="18"/>
              </w:rPr>
              <w:t>Three quru'; reciprocity with a male daraja; return if islah</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QDISC-0076</w:t>
            </w:r>
          </w:p>
        </w:tc>
        <w:tc>
          <w:tcPr>
            <w:tcW w:type="dxa" w:w="3264"/>
            <w:shd w:fill="F4F1EA" w:val="clear"/>
          </w:tcPr>
          <w:p>
            <w:r/>
            <w:r>
              <w:rPr>
                <w:rFonts w:ascii="Calibri" w:hAnsi="Calibri" w:eastAsia="Calibri"/>
                <w:b w:val="0"/>
                <w:i w:val="0"/>
                <w:color w:val="222222"/>
                <w:sz w:val="18"/>
              </w:rPr>
              <w:t>Talaq twice then hold or release; third requires another marriage first</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QDISC-0077</w:t>
            </w:r>
          </w:p>
        </w:tc>
        <w:tc>
          <w:tcPr>
            <w:tcW w:type="dxa" w:w="3264"/>
          </w:tcPr>
          <w:p>
            <w:r/>
            <w:r>
              <w:rPr>
                <w:rFonts w:ascii="Calibri" w:hAnsi="Calibri" w:eastAsia="Calibri"/>
                <w:b w:val="0"/>
                <w:i w:val="0"/>
                <w:color w:val="222222"/>
                <w:sz w:val="18"/>
              </w:rPr>
              <w:t>Do not block remarriage; nursing two years; father maintains</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QDISC-0078</w:t>
            </w:r>
          </w:p>
        </w:tc>
        <w:tc>
          <w:tcPr>
            <w:tcW w:type="dxa" w:w="3264"/>
            <w:shd w:fill="F4F1EA" w:val="clear"/>
          </w:tcPr>
          <w:p>
            <w:r/>
            <w:r>
              <w:rPr>
                <w:rFonts w:ascii="Calibri" w:hAnsi="Calibri" w:eastAsia="Calibri"/>
                <w:b w:val="0"/>
                <w:i w:val="0"/>
                <w:color w:val="222222"/>
                <w:sz w:val="18"/>
              </w:rPr>
              <w:t>Widow 4 months 10 days; allusion ok; no knot until term</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QDISC-0079</w:t>
            </w:r>
          </w:p>
        </w:tc>
        <w:tc>
          <w:tcPr>
            <w:tcW w:type="dxa" w:w="3264"/>
          </w:tcPr>
          <w:p>
            <w:r/>
            <w:r>
              <w:rPr>
                <w:rFonts w:ascii="Calibri" w:hAnsi="Calibri" w:eastAsia="Calibri"/>
                <w:b w:val="0"/>
                <w:i w:val="0"/>
                <w:color w:val="222222"/>
                <w:sz w:val="18"/>
              </w:rPr>
              <w:t>Mut'a for unconsummated divorce; middle prayer; year bequest vs 2:234 tension</w:t>
            </w:r>
          </w:p>
        </w:tc>
        <w:tc>
          <w:tcPr>
            <w:tcW w:type="dxa" w:w="3264"/>
          </w:tcPr>
          <w:p>
            <w:r/>
            <w:r>
              <w:rPr>
                <w:rFonts w:ascii="Calibri" w:hAnsi="Calibri" w:eastAsia="Calibri"/>
                <w:b w:val="0"/>
                <w:i w:val="0"/>
                <w:color w:val="222222"/>
                <w:sz w:val="18"/>
              </w:rPr>
              <w:t>DIRECT; naskh of 240 vs 234 is extra</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Divorce is limited (twice, then a real intervening marriage), timed (qurūʾ / four-months-ten), and morally fenced (maʿrūf, not ḍirār). Recipro­city is stated and then a “degree” is stated. Deut 24 and 2:230 are the sharpest legal contrast in this panel: intervening marriage closes the door in the Torah and opens a door after a third ṭalāq here.</w:t>
      </w:r>
    </w:p>
    <w:p>
      <w:pPr>
        <w:spacing w:after="160"/>
      </w:pPr>
      <w:r>
        <w:rPr>
          <w:rFonts w:ascii="Calibri" w:hAnsi="Calibri" w:eastAsia="Calibri"/>
          <w:b w:val="0"/>
          <w:i w:val="0"/>
          <w:color w:val="222222"/>
          <w:sz w:val="22"/>
        </w:rPr>
        <w:t>Next: 2:243–260 (those who left their homes, Ṭālūt / Saul, David and Goliath, God is the friend of those who believe, Abraham and the birds — comparison-heavy again). Then 2:261–286 closes the surah (spending, ribā, debt contract, 2:255 Āyat al-Kursī, last prayer of the Book).</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CP14 vv228-242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CP14 vv228-242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