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CP16  ·  SURAH CLOSE</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2:261–286 (26 verses) — end of Surah 2</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Those who spend in God’s way are like a grain that grows seven ears of a hundred grains; God multiplies for whom He wills. Spending followed by reminder-of-favor or injury has no reward; kind word and forgiveness are better than charity followed by injury. Do not void your ṣadaqāt with mann and adhā. God does not guide the kāfir. Spending to be seen vs spending seeking God’s face — a garden on a height, rain, double yield vs a hard rock. The devil promises poverty and commands indecency; God promises forgiveness and bounty. Whatever you spend of good is for yourselves, seeking God’s face; it will be repaid in full. Charity to the poor who are constrained in God’s way, whom the ignorant think rich because of restraint — you know them by their mark; they do not ask people importunately. Those who spend night and day, secretly and openly: no fear, no grief. Those who eat ribā do not stand except as one whom Satan batters with touch, because they say sale is like ribā. God permitted sale and forbade ribā. Whoever takes the admonition and desists: what is past is his; his affair is with God. Whoever returns: Fire, abiding. God destroys ribā and increases ṣadaqāt. Those who believe, do ṣāliḥāt, pray, give zakāt: reward, no fear, no grief. O believers, fear God and give up remaining ribā if you are believers. If you do not, take notice of war from God and His messenger; if you repent you have your capitals; you do not wrong and are not wronged. If the debtor is in difficulty, respite until ease; that you give it as charity is better. Guard yourselves against a day you return to God; every soul is paid what it earned. When you contract a debt for a named term, write it. A scribe writes with justice; he may not refuse. The debtor dictates; if he cannot, his walī dictates. Two male witnesses; if not two men, a man and two women from those you accept as witnesses, so that if one of the two women errs the other reminds her. Witnesses may not refuse. Do not tire of writing it, small or large. Immediate hand-to-hand trade need not be written; take witnesses when you trade. Do not harm scribe or witness. If you are on a journey and find no scribe, a taken pledge. If one of you trusts another, let the trusted discharge his trust. Conceal not testimony; whoever conceals it, his heart is sinful. To God belongs what is in the heavens and the earth; whether you show what is in yourselves or hide it, God will call you to account; He forgives whom He wills and punishes whom He wills. The messenger believed in what was sent down to him from his Lord, and the believers; each believed in God, His angels, His books, and His messengers — we make no distinction between any of His messengers. They said: we hear and we obey; Your forgiveness, our Lord; to You is the becoming. God does not charge a soul except its capacity; it has what it earned and against it what it earned. Our Lord, do not take us to task if we forget or err. Our Lord, do not lay on us a burden as You laid on those before us. Our Lord, do not lay on us what we have no strength for. Pardon us, forgive us, have mercy on us. You are our Mawlā; help us against the kāfir people.</w:t>
      </w:r>
    </w:p>
    <w:p>
      <w:pPr>
        <w:pStyle w:val="Heading1"/>
      </w:pPr>
      <w:r>
        <w:rPr>
          <w:rFonts w:ascii="Calibri" w:hAnsi="Calibri"/>
          <w:color w:val="1B3A4B"/>
        </w:rPr>
        <w:t>2–3. Investigation</w:t>
      </w:r>
    </w:p>
    <w:p>
      <w:pPr>
        <w:pStyle w:val="Heading2"/>
      </w:pPr>
      <w:r>
        <w:rPr>
          <w:rFonts w:ascii="Calibri" w:hAnsi="Calibri"/>
          <w:color w:val="1B3A4B"/>
        </w:rPr>
        <w:t>2:261–274 spend</w:t>
      </w:r>
    </w:p>
    <w:p>
      <w:pPr>
        <w:spacing w:after="160"/>
      </w:pPr>
      <w:r>
        <w:rPr>
          <w:rFonts w:ascii="Calibri" w:hAnsi="Calibri" w:eastAsia="Calibri"/>
          <w:b w:val="0"/>
          <w:i w:val="0"/>
          <w:color w:val="222222"/>
          <w:sz w:val="22"/>
        </w:rPr>
        <w:t>Multiplication image (7×100). Voiding charity by reminder and injury. Kind word better than wounded gift. Two gardens: height-with-rain vs rock-with-dust. Constrained poor who do not beg hard. Night/day, secret/open spenders get the 2:38 cadence again (no fear, no grief). Devil’s counter-promise: poverty.</w:t>
      </w:r>
    </w:p>
    <w:p>
      <w:pPr>
        <w:pStyle w:val="Heading2"/>
      </w:pPr>
      <w:r>
        <w:rPr>
          <w:rFonts w:ascii="Calibri" w:hAnsi="Calibri"/>
          <w:color w:val="1B3A4B"/>
        </w:rPr>
        <w:t>2:275–281 ribā</w:t>
      </w:r>
    </w:p>
    <w:p>
      <w:pPr>
        <w:spacing w:after="160"/>
      </w:pPr>
      <w:r>
        <w:rPr>
          <w:rFonts w:ascii="Calibri" w:hAnsi="Calibri" w:eastAsia="Calibri"/>
          <w:b w:val="0"/>
          <w:i w:val="0"/>
          <w:color w:val="222222"/>
          <w:sz w:val="22"/>
        </w:rPr>
        <w:t>Eaters of ribā stand like one touched by Satan. Their slogan: sale is like ribā. God permitted bayʿ and forbade ribā. Past amounts kept if one desists; return to it is Fire. God destroys ribā and grows ṣadaqāt. Give up remaining ribā; otherwise war from God and His messenger. Capitals only; no wringing. Hardship: respite; better to remit as charity. Then the return-day.</w:t>
      </w:r>
    </w:p>
    <w:p>
      <w:pPr>
        <w:spacing w:after="160"/>
      </w:pPr>
      <w:r>
        <w:rPr>
          <w:rFonts w:ascii="Calibri" w:hAnsi="Calibri" w:eastAsia="Calibri"/>
          <w:b w:val="0"/>
          <w:i w:val="0"/>
          <w:color w:val="222222"/>
          <w:sz w:val="22"/>
        </w:rPr>
        <w:t>QB-0062: PARTIAL AGREEMENT with biblical hostility to interest on a brother (Exod 22:25; Lev 25:35–37; Deut 23:19–20 allows interest to a foreigner). Ezekiel 18 lists neshekh among sins. NT: Luke 6:34–35 push toward giving without expecting return. The Quranic war-notice and sale-is-not-ribā distinction are ADDITION relative to Torah’s brother/foreigner split. What counts as ribā in later fiqh is not this verse’s job.</w:t>
      </w:r>
    </w:p>
    <w:p>
      <w:pPr>
        <w:pStyle w:val="Heading2"/>
      </w:pPr>
      <w:r>
        <w:rPr>
          <w:rFonts w:ascii="Calibri" w:hAnsi="Calibri"/>
          <w:color w:val="1B3A4B"/>
        </w:rPr>
        <w:t>2:282–283 the debt verse</w:t>
      </w:r>
    </w:p>
    <w:p>
      <w:pPr>
        <w:spacing w:after="160"/>
      </w:pPr>
      <w:r>
        <w:rPr>
          <w:rFonts w:ascii="Calibri" w:hAnsi="Calibri" w:eastAsia="Calibri"/>
          <w:b w:val="0"/>
          <w:i w:val="0"/>
          <w:color w:val="222222"/>
          <w:sz w:val="22"/>
        </w:rPr>
        <w:t>Longest verse in the Quran. Write term-debts. Just scribe; debtor dictates; walī if needed. Witnesses: two men, or one man and two women from acceptable witnesses, so that if one woman errs the other reminds. Purpose clause is reminder, not a metaphysics of intellect. Hand-to-hand spot trade may skip writing. Travel: pledge. Trust: discharge it. Do not conceal testimony.</w:t>
      </w:r>
    </w:p>
    <w:p>
      <w:pPr>
        <w:spacing w:after="160"/>
      </w:pPr>
      <w:r>
        <w:rPr>
          <w:rFonts w:ascii="Calibri" w:hAnsi="Calibri" w:eastAsia="Calibri"/>
          <w:b w:val="0"/>
          <w:i w:val="0"/>
          <w:color w:val="222222"/>
          <w:sz w:val="22"/>
        </w:rPr>
        <w:t>QB-0063: PARTIAL AGREEMENT with biblical insistence on honest weights, witnesses, and not perverting justice (Deut 19:15 two or three witnesses; Lev 19:13 wages). Two-women-for-one-man in this commercial-witness slot has no exact Torah twin. Later polemical use of 2:282 as a global statement about women is wider than the verse’s stated purpose (tadhkīr if one errs).</w:t>
      </w:r>
    </w:p>
    <w:p>
      <w:pPr>
        <w:pStyle w:val="Heading2"/>
      </w:pPr>
      <w:r>
        <w:rPr>
          <w:rFonts w:ascii="Calibri" w:hAnsi="Calibri"/>
          <w:color w:val="1B3A4B"/>
        </w:rPr>
        <w:t>2:284–286 close</w:t>
      </w:r>
    </w:p>
    <w:p>
      <w:pPr>
        <w:spacing w:after="160"/>
      </w:pPr>
      <w:r>
        <w:rPr>
          <w:rFonts w:ascii="Calibri" w:hAnsi="Calibri" w:eastAsia="Calibri"/>
          <w:b w:val="0"/>
          <w:i w:val="0"/>
          <w:color w:val="222222"/>
          <w:sz w:val="22"/>
        </w:rPr>
        <w:t>Hidden and shown inner states will be accounted; God forgives or punishes whom He wills. Creed: God, angels, books, messengers; no distinction among messengers; we hear and obey — the inversion of 2:93’s hear-and-disobey. God does not charge a soul beyond its wusʿ. The last prayer: forgetfulness and error; do not load us as You loaded those before; do not load what we cannot bear; ʿafw, ghufrān, raḥma; You are our Mawlā; help against the kāfir people.</w:t>
      </w:r>
    </w:p>
    <w:p>
      <w:pPr>
        <w:spacing w:after="160"/>
      </w:pPr>
      <w:r>
        <w:rPr>
          <w:rFonts w:ascii="Calibri" w:hAnsi="Calibri" w:eastAsia="Calibri"/>
          <w:b w:val="0"/>
          <w:i w:val="0"/>
          <w:color w:val="222222"/>
          <w:sz w:val="22"/>
        </w:rPr>
        <w:t>“Those before us” in the burden-clause is often read as Israel’s law-load (cf. 2:286 with 7:157 / 4:160). Level 1: a prior community was given a heavier burden; this ummah asks not to repeat it. That is a continuity-and-relief claim toward QRQ-0003 / 0007.</w:t>
      </w:r>
    </w:p>
    <w:p>
      <w:pPr>
        <w:pStyle w:val="Heading1"/>
      </w:pPr>
      <w:r>
        <w:rPr>
          <w:rFonts w:ascii="Calibri" w:hAnsi="Calibri"/>
          <w:color w:val="1B3A4B"/>
        </w:rPr>
        <w:t>4–9. Language, comparison,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mann / adha</w:t>
            </w:r>
          </w:p>
        </w:tc>
        <w:tc>
          <w:tcPr>
            <w:tcW w:type="dxa" w:w="4896"/>
          </w:tcPr>
          <w:p>
            <w:r/>
            <w:r>
              <w:rPr>
                <w:rFonts w:ascii="Calibri" w:hAnsi="Calibri" w:eastAsia="Calibri"/>
                <w:b w:val="0"/>
                <w:i w:val="0"/>
                <w:color w:val="222222"/>
                <w:sz w:val="18"/>
              </w:rPr>
              <w:t>reminder of favor / injury that voids charity</w:t>
            </w:r>
          </w:p>
        </w:tc>
      </w:tr>
      <w:tr>
        <w:tc>
          <w:tcPr>
            <w:tcW w:type="dxa" w:w="4896"/>
            <w:shd w:fill="F4F1EA" w:val="clear"/>
          </w:tcPr>
          <w:p>
            <w:r/>
            <w:r>
              <w:rPr>
                <w:rFonts w:ascii="Calibri" w:hAnsi="Calibri" w:eastAsia="Calibri"/>
                <w:b w:val="0"/>
                <w:i w:val="0"/>
                <w:color w:val="222222"/>
                <w:sz w:val="18"/>
              </w:rPr>
              <w:t>riba</w:t>
            </w:r>
          </w:p>
        </w:tc>
        <w:tc>
          <w:tcPr>
            <w:tcW w:type="dxa" w:w="4896"/>
            <w:shd w:fill="F4F1EA" w:val="clear"/>
          </w:tcPr>
          <w:p>
            <w:r/>
            <w:r>
              <w:rPr>
                <w:rFonts w:ascii="Calibri" w:hAnsi="Calibri" w:eastAsia="Calibri"/>
                <w:b w:val="0"/>
                <w:i w:val="0"/>
                <w:color w:val="222222"/>
                <w:sz w:val="18"/>
              </w:rPr>
              <w:t>increase / usury / interest — scope argued in fiqh</w:t>
            </w:r>
          </w:p>
        </w:tc>
      </w:tr>
      <w:tr>
        <w:tc>
          <w:tcPr>
            <w:tcW w:type="dxa" w:w="4896"/>
          </w:tcPr>
          <w:p>
            <w:r/>
            <w:r>
              <w:rPr>
                <w:rFonts w:ascii="Calibri" w:hAnsi="Calibri" w:eastAsia="Calibri"/>
                <w:b w:val="0"/>
                <w:i w:val="0"/>
                <w:color w:val="222222"/>
                <w:sz w:val="18"/>
              </w:rPr>
              <w:t>ra's al-mal</w:t>
            </w:r>
          </w:p>
        </w:tc>
        <w:tc>
          <w:tcPr>
            <w:tcW w:type="dxa" w:w="4896"/>
          </w:tcPr>
          <w:p>
            <w:r/>
            <w:r>
              <w:rPr>
                <w:rFonts w:ascii="Calibri" w:hAnsi="Calibri" w:eastAsia="Calibri"/>
                <w:b w:val="0"/>
                <w:i w:val="0"/>
                <w:color w:val="222222"/>
                <w:sz w:val="18"/>
              </w:rPr>
              <w:t>capital principal</w:t>
            </w:r>
          </w:p>
        </w:tc>
      </w:tr>
      <w:tr>
        <w:tc>
          <w:tcPr>
            <w:tcW w:type="dxa" w:w="4896"/>
            <w:shd w:fill="F4F1EA" w:val="clear"/>
          </w:tcPr>
          <w:p>
            <w:r/>
            <w:r>
              <w:rPr>
                <w:rFonts w:ascii="Calibri" w:hAnsi="Calibri" w:eastAsia="Calibri"/>
                <w:b w:val="0"/>
                <w:i w:val="0"/>
                <w:color w:val="222222"/>
                <w:sz w:val="18"/>
              </w:rPr>
              <w:t>naziira min Allah wa-rasulihi</w:t>
            </w:r>
          </w:p>
        </w:tc>
        <w:tc>
          <w:tcPr>
            <w:tcW w:type="dxa" w:w="4896"/>
            <w:shd w:fill="F4F1EA" w:val="clear"/>
          </w:tcPr>
          <w:p>
            <w:r/>
            <w:r>
              <w:rPr>
                <w:rFonts w:ascii="Calibri" w:hAnsi="Calibri" w:eastAsia="Calibri"/>
                <w:b w:val="0"/>
                <w:i w:val="0"/>
                <w:color w:val="222222"/>
                <w:sz w:val="18"/>
              </w:rPr>
              <w:t>notice of war from God and His messenger</w:t>
            </w:r>
          </w:p>
        </w:tc>
      </w:tr>
      <w:tr>
        <w:tc>
          <w:tcPr>
            <w:tcW w:type="dxa" w:w="4896"/>
          </w:tcPr>
          <w:p>
            <w:r/>
            <w:r>
              <w:rPr>
                <w:rFonts w:ascii="Calibri" w:hAnsi="Calibri" w:eastAsia="Calibri"/>
                <w:b w:val="0"/>
                <w:i w:val="0"/>
                <w:color w:val="222222"/>
                <w:sz w:val="18"/>
              </w:rPr>
              <w:t>katib / shahidayn</w:t>
            </w:r>
          </w:p>
        </w:tc>
        <w:tc>
          <w:tcPr>
            <w:tcW w:type="dxa" w:w="4896"/>
          </w:tcPr>
          <w:p>
            <w:r/>
            <w:r>
              <w:rPr>
                <w:rFonts w:ascii="Calibri" w:hAnsi="Calibri" w:eastAsia="Calibri"/>
                <w:b w:val="0"/>
                <w:i w:val="0"/>
                <w:color w:val="222222"/>
                <w:sz w:val="18"/>
              </w:rPr>
              <w:t>scribe / two witnesses</w:t>
            </w:r>
          </w:p>
        </w:tc>
      </w:tr>
      <w:tr>
        <w:tc>
          <w:tcPr>
            <w:tcW w:type="dxa" w:w="4896"/>
            <w:shd w:fill="F4F1EA" w:val="clear"/>
          </w:tcPr>
          <w:p>
            <w:r/>
            <w:r>
              <w:rPr>
                <w:rFonts w:ascii="Calibri" w:hAnsi="Calibri" w:eastAsia="Calibri"/>
                <w:b w:val="0"/>
                <w:i w:val="0"/>
                <w:color w:val="222222"/>
                <w:sz w:val="18"/>
              </w:rPr>
              <w:t>wus'</w:t>
            </w:r>
          </w:p>
        </w:tc>
        <w:tc>
          <w:tcPr>
            <w:tcW w:type="dxa" w:w="4896"/>
            <w:shd w:fill="F4F1EA" w:val="clear"/>
          </w:tcPr>
          <w:p>
            <w:r/>
            <w:r>
              <w:rPr>
                <w:rFonts w:ascii="Calibri" w:hAnsi="Calibri" w:eastAsia="Calibri"/>
                <w:b w:val="0"/>
                <w:i w:val="0"/>
                <w:color w:val="222222"/>
                <w:sz w:val="18"/>
              </w:rPr>
              <w:t>capacity</w:t>
            </w:r>
          </w:p>
        </w:tc>
      </w:tr>
      <w:tr>
        <w:tc>
          <w:tcPr>
            <w:tcW w:type="dxa" w:w="4896"/>
          </w:tcPr>
          <w:p>
            <w:r/>
            <w:r>
              <w:rPr>
                <w:rFonts w:ascii="Calibri" w:hAnsi="Calibri" w:eastAsia="Calibri"/>
                <w:b w:val="0"/>
                <w:i w:val="0"/>
                <w:color w:val="222222"/>
                <w:sz w:val="18"/>
              </w:rPr>
              <w:t>sami'na wa-ata'na</w:t>
            </w:r>
          </w:p>
        </w:tc>
        <w:tc>
          <w:tcPr>
            <w:tcW w:type="dxa" w:w="4896"/>
          </w:tcPr>
          <w:p>
            <w:r/>
            <w:r>
              <w:rPr>
                <w:rFonts w:ascii="Calibri" w:hAnsi="Calibri" w:eastAsia="Calibri"/>
                <w:b w:val="0"/>
                <w:i w:val="0"/>
                <w:color w:val="222222"/>
                <w:sz w:val="18"/>
              </w:rPr>
              <w:t>we hear and we obey</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QB-0062</w:t>
            </w:r>
          </w:p>
        </w:tc>
        <w:tc>
          <w:tcPr>
            <w:tcW w:type="dxa" w:w="3264"/>
          </w:tcPr>
          <w:p>
            <w:r/>
            <w:r>
              <w:rPr>
                <w:rFonts w:ascii="Calibri" w:hAnsi="Calibri" w:eastAsia="Calibri"/>
                <w:b w:val="0"/>
                <w:i w:val="0"/>
                <w:color w:val="222222"/>
                <w:sz w:val="18"/>
              </w:rPr>
              <w:t>Riba ban vs Torah interest rules</w:t>
            </w:r>
          </w:p>
        </w:tc>
        <w:tc>
          <w:tcPr>
            <w:tcW w:type="dxa" w:w="3264"/>
          </w:tcPr>
          <w:p>
            <w:r/>
            <w:r>
              <w:rPr>
                <w:rFonts w:ascii="Calibri" w:hAnsi="Calibri" w:eastAsia="Calibri"/>
                <w:b w:val="0"/>
                <w:i w:val="0"/>
                <w:color w:val="222222"/>
                <w:sz w:val="18"/>
              </w:rPr>
              <w:t>PARTIAL AGREEMENT on hostility to interest toward the in-group; ADDITION of war-notice and sale≠riba slogan-refutation; Torah allows neshekh to a foreigner</w:t>
            </w:r>
          </w:p>
        </w:tc>
      </w:tr>
      <w:tr>
        <w:tc>
          <w:tcPr>
            <w:tcW w:type="dxa" w:w="3264"/>
            <w:shd w:fill="F4F1EA" w:val="clear"/>
          </w:tcPr>
          <w:p>
            <w:r/>
            <w:r>
              <w:rPr>
                <w:rFonts w:ascii="Calibri" w:hAnsi="Calibri" w:eastAsia="Calibri"/>
                <w:b w:val="0"/>
                <w:i w:val="0"/>
                <w:color w:val="222222"/>
                <w:sz w:val="18"/>
              </w:rPr>
              <w:t>QB-0063</w:t>
            </w:r>
          </w:p>
        </w:tc>
        <w:tc>
          <w:tcPr>
            <w:tcW w:type="dxa" w:w="3264"/>
            <w:shd w:fill="F4F1EA" w:val="clear"/>
          </w:tcPr>
          <w:p>
            <w:r/>
            <w:r>
              <w:rPr>
                <w:rFonts w:ascii="Calibri" w:hAnsi="Calibri" w:eastAsia="Calibri"/>
                <w:b w:val="0"/>
                <w:i w:val="0"/>
                <w:color w:val="222222"/>
                <w:sz w:val="18"/>
              </w:rPr>
              <w:t>Written debt and witnesses</w:t>
            </w:r>
          </w:p>
        </w:tc>
        <w:tc>
          <w:tcPr>
            <w:tcW w:type="dxa" w:w="3264"/>
            <w:shd w:fill="F4F1EA" w:val="clear"/>
          </w:tcPr>
          <w:p>
            <w:r/>
            <w:r>
              <w:rPr>
                <w:rFonts w:ascii="Calibri" w:hAnsi="Calibri" w:eastAsia="Calibri"/>
                <w:b w:val="0"/>
                <w:i w:val="0"/>
                <w:color w:val="222222"/>
                <w:sz w:val="18"/>
              </w:rPr>
              <w:t>PARTIAL AGREEMENT with two-or-three-witness justice culture; two-women clause is ADDITION with a stated reminder purpose</w:t>
            </w:r>
          </w:p>
        </w:tc>
      </w:tr>
      <w:tr>
        <w:tc>
          <w:tcPr>
            <w:tcW w:type="dxa" w:w="3264"/>
          </w:tcPr>
          <w:p>
            <w:r/>
            <w:r>
              <w:rPr>
                <w:rFonts w:ascii="Calibri" w:hAnsi="Calibri" w:eastAsia="Calibri"/>
                <w:b w:val="0"/>
                <w:i w:val="0"/>
                <w:color w:val="222222"/>
                <w:sz w:val="18"/>
              </w:rPr>
              <w:t>QB-0030+</w:t>
            </w:r>
          </w:p>
        </w:tc>
        <w:tc>
          <w:tcPr>
            <w:tcW w:type="dxa" w:w="3264"/>
          </w:tcPr>
          <w:p>
            <w:r/>
            <w:r>
              <w:rPr>
                <w:rFonts w:ascii="Calibri" w:hAnsi="Calibri" w:eastAsia="Calibri"/>
                <w:b w:val="0"/>
                <w:i w:val="0"/>
                <w:color w:val="222222"/>
                <w:sz w:val="18"/>
              </w:rPr>
              <w:t>Hear and obey vs 2:93 hear and disobey</w:t>
            </w:r>
          </w:p>
        </w:tc>
        <w:tc>
          <w:tcPr>
            <w:tcW w:type="dxa" w:w="3264"/>
          </w:tcPr>
          <w:p>
            <w:r/>
            <w:r>
              <w:rPr>
                <w:rFonts w:ascii="Calibri" w:hAnsi="Calibri" w:eastAsia="Calibri"/>
                <w:b w:val="0"/>
                <w:i w:val="0"/>
                <w:color w:val="222222"/>
                <w:sz w:val="18"/>
              </w:rPr>
              <w:t>This close inverts the calf-generation formula</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QDISC-0086</w:t>
            </w:r>
          </w:p>
        </w:tc>
        <w:tc>
          <w:tcPr>
            <w:tcW w:type="dxa" w:w="4896"/>
          </w:tcPr>
          <w:p>
            <w:r/>
            <w:r>
              <w:rPr>
                <w:rFonts w:ascii="Calibri" w:hAnsi="Calibri" w:eastAsia="Calibri"/>
                <w:b w:val="0"/>
                <w:i w:val="0"/>
                <w:color w:val="222222"/>
                <w:sz w:val="18"/>
              </w:rPr>
              <w:t>Spend multiplied; do not void charity with reminder and injury</w:t>
            </w:r>
          </w:p>
        </w:tc>
      </w:tr>
      <w:tr>
        <w:tc>
          <w:tcPr>
            <w:tcW w:type="dxa" w:w="4896"/>
            <w:shd w:fill="F4F1EA" w:val="clear"/>
          </w:tcPr>
          <w:p>
            <w:r/>
            <w:r>
              <w:rPr>
                <w:rFonts w:ascii="Calibri" w:hAnsi="Calibri" w:eastAsia="Calibri"/>
                <w:b w:val="0"/>
                <w:i w:val="0"/>
                <w:color w:val="222222"/>
                <w:sz w:val="18"/>
              </w:rPr>
              <w:t>QDISC-0087</w:t>
            </w:r>
          </w:p>
        </w:tc>
        <w:tc>
          <w:tcPr>
            <w:tcW w:type="dxa" w:w="4896"/>
            <w:shd w:fill="F4F1EA" w:val="clear"/>
          </w:tcPr>
          <w:p>
            <w:r/>
            <w:r>
              <w:rPr>
                <w:rFonts w:ascii="Calibri" w:hAnsi="Calibri" w:eastAsia="Calibri"/>
                <w:b w:val="0"/>
                <w:i w:val="0"/>
                <w:color w:val="222222"/>
                <w:sz w:val="18"/>
              </w:rPr>
              <w:t>Riba forbidden; sale permitted; remaining riba = war notice; respite for hardship</w:t>
            </w:r>
          </w:p>
        </w:tc>
      </w:tr>
      <w:tr>
        <w:tc>
          <w:tcPr>
            <w:tcW w:type="dxa" w:w="4896"/>
          </w:tcPr>
          <w:p>
            <w:r/>
            <w:r>
              <w:rPr>
                <w:rFonts w:ascii="Calibri" w:hAnsi="Calibri" w:eastAsia="Calibri"/>
                <w:b w:val="0"/>
                <w:i w:val="0"/>
                <w:color w:val="222222"/>
                <w:sz w:val="18"/>
              </w:rPr>
              <w:t>QDISC-0088</w:t>
            </w:r>
          </w:p>
        </w:tc>
        <w:tc>
          <w:tcPr>
            <w:tcW w:type="dxa" w:w="4896"/>
          </w:tcPr>
          <w:p>
            <w:r/>
            <w:r>
              <w:rPr>
                <w:rFonts w:ascii="Calibri" w:hAnsi="Calibri" w:eastAsia="Calibri"/>
                <w:b w:val="0"/>
                <w:i w:val="0"/>
                <w:color w:val="222222"/>
                <w:sz w:val="18"/>
              </w:rPr>
              <w:t>Write term-debts; two men or one man and two women as witnesses</w:t>
            </w:r>
          </w:p>
        </w:tc>
      </w:tr>
      <w:tr>
        <w:tc>
          <w:tcPr>
            <w:tcW w:type="dxa" w:w="4896"/>
            <w:shd w:fill="F4F1EA" w:val="clear"/>
          </w:tcPr>
          <w:p>
            <w:r/>
            <w:r>
              <w:rPr>
                <w:rFonts w:ascii="Calibri" w:hAnsi="Calibri" w:eastAsia="Calibri"/>
                <w:b w:val="0"/>
                <w:i w:val="0"/>
                <w:color w:val="222222"/>
                <w:sz w:val="18"/>
              </w:rPr>
              <w:t>QDISC-0089</w:t>
            </w:r>
          </w:p>
        </w:tc>
        <w:tc>
          <w:tcPr>
            <w:tcW w:type="dxa" w:w="4896"/>
            <w:shd w:fill="F4F1EA" w:val="clear"/>
          </w:tcPr>
          <w:p>
            <w:r/>
            <w:r>
              <w:rPr>
                <w:rFonts w:ascii="Calibri" w:hAnsi="Calibri" w:eastAsia="Calibri"/>
                <w:b w:val="0"/>
                <w:i w:val="0"/>
                <w:color w:val="222222"/>
                <w:sz w:val="18"/>
              </w:rPr>
              <w:t>Creed of 2:285; no soul charged beyond capacity; closing prayer 2:286</w:t>
            </w:r>
          </w:p>
        </w:tc>
      </w:tr>
    </w:tbl>
    <w:p/>
    <w:p>
      <w:pPr>
        <w:pStyle w:val="Heading1"/>
      </w:pPr>
      <w:r>
        <w:rPr>
          <w:rFonts w:ascii="Calibri" w:hAnsi="Calibri"/>
          <w:color w:val="1B3A4B"/>
        </w:rPr>
        <w:t>Surah 2 close-out</w:t>
      </w:r>
    </w:p>
    <w:p>
      <w:pPr>
        <w:spacing w:after="160"/>
      </w:pPr>
      <w:r>
        <w:rPr>
          <w:rFonts w:ascii="Calibri" w:hAnsi="Calibri" w:eastAsia="Calibri"/>
          <w:b w:val="0"/>
          <w:i w:val="0"/>
          <w:color w:val="222222"/>
          <w:sz w:val="22"/>
        </w:rPr>
        <w:t>Al-Baqarah opened with the Book as guidance for the muttaqīn and closed with a community that hears and obeys, asks not to be loaded as those before were loaded, and takes God as Mawlā. Between those poles: Adam, Israel’s saga, Jesus named, Abraham’s House, qibla, naskh, ḥajj, family law, Ṭālūt, the Living whose kursī holds the world, and a market ethic that bans ribā and commands ink.</w:t>
      </w:r>
    </w:p>
    <w:p>
      <w:pPr>
        <w:spacing w:after="160"/>
      </w:pPr>
      <w:r>
        <w:rPr>
          <w:rFonts w:ascii="Calibri" w:hAnsi="Calibri" w:eastAsia="Calibri"/>
          <w:b w:val="0"/>
          <w:i w:val="0"/>
          <w:color w:val="222222"/>
          <w:sz w:val="22"/>
        </w:rPr>
        <w:t>Next surah in canonical order: S003 Āl ʿImrān — Mary, Zechariah, the family of ʿImrān, and a thicker Jesus file. Propose first packet 3:1–32 or 3:1–20 depending on verse volume.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S002 CLOSE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CP16 vv261-286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CP16 vv261-286 CLOSE</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