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S003 — ĀL ʿIMRĀN — CP03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3:64–91 (28 verses)</w:t>
      </w:r>
    </w:p>
    <w:p>
      <w:pPr>
        <w:spacing w:after="40"/>
      </w:pPr>
      <w:r>
        <w:rPr>
          <w:rFonts w:ascii="Calibri" w:hAnsi="Calibri" w:eastAsia="Calibri"/>
          <w:b/>
          <w:i w:val="0"/>
          <w:color w:val="1B3A4B"/>
          <w:sz w:val="22"/>
        </w:rPr>
        <w:t xml:space="preserve">Load-bearing: </w:t>
      </w:r>
      <w:r>
        <w:rPr>
          <w:rFonts w:ascii="Calibri" w:hAnsi="Calibri" w:eastAsia="Calibri"/>
          <w:b w:val="0"/>
          <w:i w:val="0"/>
          <w:color w:val="222222"/>
          <w:sz w:val="22"/>
        </w:rPr>
        <w:t>3:67 Abraham ḥanīf muslim; 3:85 whoever seeks other than islām</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Say: People of the Book, come to a word common between us and you: that we worship none but God, associate nothing with Him, and do not take one another as lords besides God. If they turn away: bear witness that we are muslimūn. Why do you argue about Abraham when the Torah and Injīl were not sent down until after him? Abraham was neither a Jew nor a Christian; he was ḥanīfan musliman and not of the mushrikīn. The nearest of people to Abraham are those who followed him, this prophet, and those who believe. A party of the People of the Book wish to mislead you. A party say believe in what was sent down on those who believe at the face of day and disbelieve at its end. Do not believe anyone except those who follow your dīn. Say: the true guidance is God’s guidance. Among the People of the Book is one who if entrusted with a qinṭār pays it back; among them is one who if entrusted with a dīnār will not pay it unless you stand over him — because they say we have no way against the ummiyyīn. They say it is from God when it is not. A party twist their tongues with the Book so you will think it is from the Book; it is not from the Book. They say it is from God; it is not. It is not for a human that God should give him the Book, ḥukm, and nubuwwa, then he say to people be servants to me besides God. Rather: be rabbāniyyīn. He would not command you to take angels and prophets as lords. When God took the covenant of the prophets: whatever I give you of Book and ḥikmah, then there comes to you a messenger confirming what is with you — you shall believe in him and help him. They said we affirm. Whoever turns away after that: the fāsiqūn. Do they seek other than God’s dīn, when to Him submitted whoever is in the heavens and the earth, willingly or unwillingly? Whoever seeks a dīn other than al-islām, it will not be accepted from him, and in the hereafter he is among the losers. How shall God guide a people who disbelieved after their belief, and witnessed that the messenger is true, and clear proofs came to them? Those: their repayment is that on them is the curse of God, the angels, and the people all together, abiding in it; the punishment is not lightened. Except those who repent after that and put things right. Those who disbelieve after their belief then increase in kufr: their repentance will not be accepted. Those who disbelieve and die as disbelievers: there will not be accepted from any of them the earth full of gold even if he ransomed himself with it.</w:t>
      </w:r>
    </w:p>
    <w:p>
      <w:pPr>
        <w:pStyle w:val="Heading1"/>
      </w:pPr>
      <w:r>
        <w:rPr>
          <w:rFonts w:ascii="Calibri" w:hAnsi="Calibri"/>
          <w:color w:val="1B3A4B"/>
        </w:rPr>
        <w:t>2–3. Investigation</w:t>
      </w:r>
    </w:p>
    <w:p>
      <w:pPr>
        <w:pStyle w:val="Heading2"/>
      </w:pPr>
      <w:r>
        <w:rPr>
          <w:rFonts w:ascii="Calibri" w:hAnsi="Calibri"/>
          <w:color w:val="1B3A4B"/>
        </w:rPr>
        <w:t>3:64 common word</w:t>
      </w:r>
    </w:p>
    <w:p>
      <w:pPr>
        <w:spacing w:after="160"/>
      </w:pPr>
      <w:r>
        <w:rPr>
          <w:rFonts w:ascii="Calibri" w:hAnsi="Calibri" w:eastAsia="Calibri"/>
          <w:b w:val="0"/>
          <w:i w:val="0"/>
          <w:color w:val="222222"/>
          <w:sz w:val="22"/>
        </w:rPr>
        <w:t>Kalimatin sawāʾ: worship none but God, no shirk, no taking one another as lords. If they turn: witness that we are muslimūn. This is the most explicit invitation-formula to Jews and Christians in the reading so far. It assumes a shared monotheism that can be named as a meeting-point, then draws a line at human lordship.</w:t>
      </w:r>
    </w:p>
    <w:p>
      <w:pPr>
        <w:spacing w:after="160"/>
      </w:pPr>
      <w:r>
        <w:rPr>
          <w:rFonts w:ascii="Calibri" w:hAnsi="Calibri" w:eastAsia="Calibri"/>
          <w:b w:val="0"/>
          <w:i w:val="0"/>
          <w:color w:val="222222"/>
          <w:sz w:val="22"/>
        </w:rPr>
        <w:t>QB-0073: PARTIAL AGREEMENT with Shema / first commandment and with Jesus’ “the Lord our God, the Lord is one” (Mark 12:29). “Do not take one another as lords” is the edge aimed at structures of religious mediation (later tafsir aims this at rabbis and at high Christology). Level 1 is the sentence, not the later target-list.</w:t>
      </w:r>
    </w:p>
    <w:p>
      <w:pPr>
        <w:pStyle w:val="Heading2"/>
      </w:pPr>
      <w:r>
        <w:rPr>
          <w:rFonts w:ascii="Calibri" w:hAnsi="Calibri"/>
          <w:color w:val="1B3A4B"/>
        </w:rPr>
        <w:t>3:65–68 Abraham was not a Jew or a Christian</w:t>
      </w:r>
    </w:p>
    <w:p>
      <w:pPr>
        <w:spacing w:after="160"/>
      </w:pPr>
      <w:r>
        <w:rPr>
          <w:rFonts w:ascii="Calibri" w:hAnsi="Calibri" w:eastAsia="Calibri"/>
          <w:b w:val="0"/>
          <w:i w:val="0"/>
          <w:color w:val="222222"/>
          <w:sz w:val="22"/>
        </w:rPr>
        <w:t>Torah and Injīl came after Abraham; therefore he cannot be claimed by those later names. He was ḥanīfan musliman, not a mushrik. Nearest to him: those who followed him, this prophet, and the believers. God is walī of the believers.</w:t>
      </w:r>
    </w:p>
    <w:p>
      <w:pPr>
        <w:spacing w:after="160"/>
      </w:pPr>
      <w:r>
        <w:rPr>
          <w:rFonts w:ascii="Calibri" w:hAnsi="Calibri" w:eastAsia="Calibri"/>
          <w:b w:val="0"/>
          <w:i w:val="0"/>
          <w:color w:val="222222"/>
          <w:sz w:val="22"/>
        </w:rPr>
        <w:t>Repeats and hardens 2:135–140. Abraham is pulled out of both later communities and seated as ḥanīf muslim. “Muslim” here is the same root as 3:19 and 3:85; whether it is generic submitter or the named dīn is the whole argument of this surah.</w:t>
      </w:r>
    </w:p>
    <w:p>
      <w:pPr>
        <w:spacing w:after="160"/>
      </w:pPr>
      <w:r>
        <w:rPr>
          <w:rFonts w:ascii="Calibri" w:hAnsi="Calibri" w:eastAsia="Calibri"/>
          <w:b w:val="0"/>
          <w:i w:val="0"/>
          <w:color w:val="222222"/>
          <w:sz w:val="22"/>
        </w:rPr>
        <w:t>QB-0074: CONTRAST with Gen 12–17 + later Jewish claim of Abraham as first Jew / father of the covenant people, and with Pauline / Gospel use of Abraham as father of those who believe (Rom 4; Gal 3; John 8). All three files claim him. The Quran’s move is chronological: the later labels do not reach back to him.</w:t>
      </w:r>
    </w:p>
    <w:p>
      <w:pPr>
        <w:pStyle w:val="Heading2"/>
      </w:pPr>
      <w:r>
        <w:rPr>
          <w:rFonts w:ascii="Calibri" w:hAnsi="Calibri"/>
          <w:color w:val="1B3A4B"/>
        </w:rPr>
        <w:t>3:69–78 tactics and twisted tongues</w:t>
      </w:r>
    </w:p>
    <w:p>
      <w:pPr>
        <w:spacing w:after="160"/>
      </w:pPr>
      <w:r>
        <w:rPr>
          <w:rFonts w:ascii="Calibri" w:hAnsi="Calibri" w:eastAsia="Calibri"/>
          <w:b w:val="0"/>
          <w:i w:val="0"/>
          <w:color w:val="222222"/>
          <w:sz w:val="22"/>
        </w:rPr>
        <w:t>Wish to mislead. Believe in the morning, disbelieve in the evening — a social-pressure tactic. Do not trust anyone except your own dīn. Two kinds of trustee: qinṭār paid back vs dīnār withheld because “we have no way against the ummiyyīn.” They say it is from God and it is not. A party twist their tongues with the Book so you think it from the Book. QCA-0003 (tahrīf / twisting) is now tongue-and-speech, not yet a claim that every manuscript is rewritten. Keep that distinction.</w:t>
      </w:r>
    </w:p>
    <w:p>
      <w:pPr>
        <w:pStyle w:val="Heading2"/>
      </w:pPr>
      <w:r>
        <w:rPr>
          <w:rFonts w:ascii="Calibri" w:hAnsi="Calibri"/>
          <w:color w:val="1B3A4B"/>
        </w:rPr>
        <w:t>3:79–81 no prophet-as-lord; prophet-covenant</w:t>
      </w:r>
    </w:p>
    <w:p>
      <w:pPr>
        <w:spacing w:after="160"/>
      </w:pPr>
      <w:r>
        <w:rPr>
          <w:rFonts w:ascii="Calibri" w:hAnsi="Calibri" w:eastAsia="Calibri"/>
          <w:b w:val="0"/>
          <w:i w:val="0"/>
          <w:color w:val="222222"/>
          <w:sz w:val="22"/>
        </w:rPr>
        <w:t>A human given Book, ḥukm, and nubuwwa does not then say “be my servants besides God.” Be rabbāniyyīn. He does not command taking angels and prophets as lords. Then a covenant taken from the prophets: when a confirming messenger comes, believe and help. This is the Quran’s theory of why later communities “should have” recognized this messenger: a prior prophetic pact. Level 1 is the claim; the pact is not quoted from a named biblical verse.</w:t>
      </w:r>
    </w:p>
    <w:p>
      <w:pPr>
        <w:spacing w:after="160"/>
      </w:pPr>
      <w:r>
        <w:rPr>
          <w:rFonts w:ascii="Calibri" w:hAnsi="Calibri" w:eastAsia="Calibri"/>
          <w:b w:val="0"/>
          <w:i w:val="0"/>
          <w:color w:val="222222"/>
          <w:sz w:val="22"/>
        </w:rPr>
        <w:t>QB-0075: POSSIBLE RELATIONSHIP to Deut 18:15–19 (a prophet like Moses) and to John 5:46 (Moses wrote of me) as “prior confirmation” claims. Not identity of wording.</w:t>
      </w:r>
    </w:p>
    <w:p>
      <w:pPr>
        <w:pStyle w:val="Heading2"/>
      </w:pPr>
      <w:r>
        <w:rPr>
          <w:rFonts w:ascii="Calibri" w:hAnsi="Calibri"/>
          <w:color w:val="1B3A4B"/>
        </w:rPr>
        <w:t>3:83–85 QI-0004 comes to a head</w:t>
      </w:r>
    </w:p>
    <w:p>
      <w:pPr>
        <w:spacing w:after="160"/>
      </w:pPr>
      <w:r>
        <w:rPr>
          <w:rFonts w:ascii="Calibri" w:hAnsi="Calibri" w:eastAsia="Calibri"/>
          <w:b w:val="0"/>
          <w:i w:val="0"/>
          <w:color w:val="222222"/>
          <w:sz w:val="22"/>
        </w:rPr>
        <w:t>Do they seek other than God’s dīn, when whoever is in the heavens and the earth submitted to Him, willing or unwilling? Wa-man yabtaghi ghayra l-islāmi dīnan fa-lan yuqbala minhu — whoever seeks a dīn other than al-islām, it will not be accepted from him; in the hereafter he is among the losers.</w:t>
      </w:r>
    </w:p>
    <w:p>
      <w:pPr>
        <w:spacing w:after="160"/>
      </w:pPr>
      <w:r>
        <w:rPr>
          <w:rFonts w:ascii="Calibri" w:hAnsi="Calibri" w:eastAsia="Calibri"/>
          <w:b w:val="0"/>
          <w:i w:val="0"/>
          <w:color w:val="222222"/>
          <w:sz w:val="22"/>
        </w:rPr>
        <w:t>Now the three sentences are on one table:</w:t>
      </w:r>
    </w:p>
    <w:p>
      <w:pPr>
        <w:spacing w:after="160"/>
      </w:pPr>
      <w:r>
        <w:rPr>
          <w:rFonts w:ascii="Calibri" w:hAnsi="Calibri" w:eastAsia="Calibri"/>
          <w:b w:val="0"/>
          <w:i w:val="0"/>
          <w:color w:val="222222"/>
          <w:sz w:val="22"/>
        </w:rPr>
        <w:t>2:62 — those who believe, and the Jews, the Christians, and the Sabians — who believe in God and the Last Day and do ṣāliḥ work — their reward is with their Lord; no fear, no grief.</w:t>
      </w:r>
    </w:p>
    <w:p>
      <w:pPr>
        <w:spacing w:after="160"/>
      </w:pPr>
      <w:r>
        <w:rPr>
          <w:rFonts w:ascii="Calibri" w:hAnsi="Calibri" w:eastAsia="Calibri"/>
          <w:b w:val="0"/>
          <w:i w:val="0"/>
          <w:color w:val="222222"/>
          <w:sz w:val="22"/>
        </w:rPr>
        <w:t>3:19 — the dīn with God is al-islām; Book-recipients differed after knowledge from baghy.</w:t>
      </w:r>
    </w:p>
    <w:p>
      <w:pPr>
        <w:spacing w:after="160"/>
      </w:pPr>
      <w:r>
        <w:rPr>
          <w:rFonts w:ascii="Calibri" w:hAnsi="Calibri" w:eastAsia="Calibri"/>
          <w:b w:val="0"/>
          <w:i w:val="0"/>
          <w:color w:val="222222"/>
          <w:sz w:val="22"/>
        </w:rPr>
        <w:t>3:85 — whoever seeks other than al-islām as dīn: not accepted; loser in the hereafter.</w:t>
      </w:r>
    </w:p>
    <w:p>
      <w:pPr>
        <w:spacing w:after="160"/>
      </w:pPr>
      <w:r>
        <w:rPr>
          <w:rFonts w:ascii="Calibri" w:hAnsi="Calibri" w:eastAsia="Calibri"/>
          <w:b w:val="0"/>
          <w:i w:val="0"/>
          <w:color w:val="222222"/>
          <w:sz w:val="22"/>
        </w:rPr>
        <w:t>Possible hearings, all of which must be listed rather than one smuggled in as “the” reading: (1) islām in 3:85 is generic submission, so 2:62 still describes people who actually submit; (2) islām in 3:85 is the named dīn of this messenger, so 2:62 is earlier, abrogated, or restricted to pre-mission people; (3) 2:62 already required the right God and Last Day, and 3:85 names that right allegiance as islām. Naskh of 2:62 by 3:85 is a Level 4 uṣūl move. Level 1: both verses stand in the muṣḥaf. QI-0004 stays OPEN.</w:t>
      </w:r>
    </w:p>
    <w:p>
      <w:pPr>
        <w:pStyle w:val="Heading2"/>
      </w:pPr>
      <w:r>
        <w:rPr>
          <w:rFonts w:ascii="Calibri" w:hAnsi="Calibri"/>
          <w:color w:val="1B3A4B"/>
        </w:rPr>
        <w:t>3:86–91 after-belief kufr</w:t>
      </w:r>
    </w:p>
    <w:p>
      <w:pPr>
        <w:spacing w:after="160"/>
      </w:pPr>
      <w:r>
        <w:rPr>
          <w:rFonts w:ascii="Calibri" w:hAnsi="Calibri" w:eastAsia="Calibri"/>
          <w:b w:val="0"/>
          <w:i w:val="0"/>
          <w:color w:val="222222"/>
          <w:sz w:val="22"/>
        </w:rPr>
        <w:t>How will God guide a people who disbelieved after belief, having witnessed that the messenger is true? Curse of God, angels, and people. Exception: those who repent and repair. Those who disbelieve after belief then increase in kufr: repentance not accepted. Those who die as disbelievers: earth-full of gold will not ransom them. This is post-recognition apostasy language, not the 2:62 file.</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QB/QI</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QB-0073</w:t>
            </w:r>
          </w:p>
        </w:tc>
        <w:tc>
          <w:tcPr>
            <w:tcW w:type="dxa" w:w="3264"/>
          </w:tcPr>
          <w:p>
            <w:r/>
            <w:r>
              <w:rPr>
                <w:rFonts w:ascii="Calibri" w:hAnsi="Calibri" w:eastAsia="Calibri"/>
                <w:b w:val="0"/>
                <w:i w:val="0"/>
                <w:color w:val="222222"/>
                <w:sz w:val="18"/>
              </w:rPr>
              <w:t>Common word 3:64</w:t>
            </w:r>
          </w:p>
        </w:tc>
        <w:tc>
          <w:tcPr>
            <w:tcW w:type="dxa" w:w="3264"/>
          </w:tcPr>
          <w:p>
            <w:r/>
            <w:r>
              <w:rPr>
                <w:rFonts w:ascii="Calibri" w:hAnsi="Calibri" w:eastAsia="Calibri"/>
                <w:b w:val="0"/>
                <w:i w:val="0"/>
                <w:color w:val="222222"/>
                <w:sz w:val="18"/>
              </w:rPr>
              <w:t>PARTIAL AGREEMENT with Shema / Mark 12:29</w:t>
            </w:r>
          </w:p>
        </w:tc>
      </w:tr>
      <w:tr>
        <w:tc>
          <w:tcPr>
            <w:tcW w:type="dxa" w:w="3264"/>
            <w:shd w:fill="F4F1EA" w:val="clear"/>
          </w:tcPr>
          <w:p>
            <w:r/>
            <w:r>
              <w:rPr>
                <w:rFonts w:ascii="Calibri" w:hAnsi="Calibri" w:eastAsia="Calibri"/>
                <w:b w:val="0"/>
                <w:i w:val="0"/>
                <w:color w:val="222222"/>
                <w:sz w:val="18"/>
              </w:rPr>
              <w:t>QB-0074</w:t>
            </w:r>
          </w:p>
        </w:tc>
        <w:tc>
          <w:tcPr>
            <w:tcW w:type="dxa" w:w="3264"/>
            <w:shd w:fill="F4F1EA" w:val="clear"/>
          </w:tcPr>
          <w:p>
            <w:r/>
            <w:r>
              <w:rPr>
                <w:rFonts w:ascii="Calibri" w:hAnsi="Calibri" w:eastAsia="Calibri"/>
                <w:b w:val="0"/>
                <w:i w:val="0"/>
                <w:color w:val="222222"/>
                <w:sz w:val="18"/>
              </w:rPr>
              <w:t>Abraham not Jew or Christian</w:t>
            </w:r>
          </w:p>
        </w:tc>
        <w:tc>
          <w:tcPr>
            <w:tcW w:type="dxa" w:w="3264"/>
            <w:shd w:fill="F4F1EA" w:val="clear"/>
          </w:tcPr>
          <w:p>
            <w:r/>
            <w:r>
              <w:rPr>
                <w:rFonts w:ascii="Calibri" w:hAnsi="Calibri" w:eastAsia="Calibri"/>
                <w:b w:val="0"/>
                <w:i w:val="0"/>
                <w:color w:val="222222"/>
                <w:sz w:val="18"/>
              </w:rPr>
              <w:t>CONTRAST with Jewish and Christian claims on Abraham; same contest as Rom 4 / John 8</w:t>
            </w:r>
          </w:p>
        </w:tc>
      </w:tr>
      <w:tr>
        <w:tc>
          <w:tcPr>
            <w:tcW w:type="dxa" w:w="3264"/>
          </w:tcPr>
          <w:p>
            <w:r/>
            <w:r>
              <w:rPr>
                <w:rFonts w:ascii="Calibri" w:hAnsi="Calibri" w:eastAsia="Calibri"/>
                <w:b w:val="0"/>
                <w:i w:val="0"/>
                <w:color w:val="222222"/>
                <w:sz w:val="18"/>
              </w:rPr>
              <w:t>QB-0075</w:t>
            </w:r>
          </w:p>
        </w:tc>
        <w:tc>
          <w:tcPr>
            <w:tcW w:type="dxa" w:w="3264"/>
          </w:tcPr>
          <w:p>
            <w:r/>
            <w:r>
              <w:rPr>
                <w:rFonts w:ascii="Calibri" w:hAnsi="Calibri" w:eastAsia="Calibri"/>
                <w:b w:val="0"/>
                <w:i w:val="0"/>
                <w:color w:val="222222"/>
                <w:sz w:val="18"/>
              </w:rPr>
              <w:t>Prophet-covenant to believe the confirming messenger</w:t>
            </w:r>
          </w:p>
        </w:tc>
        <w:tc>
          <w:tcPr>
            <w:tcW w:type="dxa" w:w="3264"/>
          </w:tcPr>
          <w:p>
            <w:r/>
            <w:r>
              <w:rPr>
                <w:rFonts w:ascii="Calibri" w:hAnsi="Calibri" w:eastAsia="Calibri"/>
                <w:b w:val="0"/>
                <w:i w:val="0"/>
                <w:color w:val="222222"/>
                <w:sz w:val="18"/>
              </w:rPr>
              <w:t>POSSIBLE RELATIONSHIP to Deut 18 / John 5:46</w:t>
            </w:r>
          </w:p>
        </w:tc>
      </w:tr>
      <w:tr>
        <w:tc>
          <w:tcPr>
            <w:tcW w:type="dxa" w:w="3264"/>
            <w:shd w:fill="F4F1EA" w:val="clear"/>
          </w:tcPr>
          <w:p>
            <w:r/>
            <w:r>
              <w:rPr>
                <w:rFonts w:ascii="Calibri" w:hAnsi="Calibri" w:eastAsia="Calibri"/>
                <w:b w:val="0"/>
                <w:i w:val="0"/>
                <w:color w:val="222222"/>
                <w:sz w:val="18"/>
              </w:rPr>
              <w:t>QI-0004</w:t>
            </w:r>
          </w:p>
        </w:tc>
        <w:tc>
          <w:tcPr>
            <w:tcW w:type="dxa" w:w="3264"/>
            <w:shd w:fill="F4F1EA" w:val="clear"/>
          </w:tcPr>
          <w:p>
            <w:r/>
            <w:r>
              <w:rPr>
                <w:rFonts w:ascii="Calibri" w:hAnsi="Calibri" w:eastAsia="Calibri"/>
                <w:b w:val="0"/>
                <w:i w:val="0"/>
                <w:color w:val="222222"/>
                <w:sz w:val="18"/>
              </w:rPr>
              <w:t>2:62 / 3:19 / 3:85</w:t>
            </w:r>
          </w:p>
        </w:tc>
        <w:tc>
          <w:tcPr>
            <w:tcW w:type="dxa" w:w="3264"/>
            <w:shd w:fill="F4F1EA" w:val="clear"/>
          </w:tcPr>
          <w:p>
            <w:r/>
            <w:r>
              <w:rPr>
                <w:rFonts w:ascii="Calibri" w:hAnsi="Calibri" w:eastAsia="Calibri"/>
                <w:b w:val="0"/>
                <w:i w:val="0"/>
                <w:color w:val="222222"/>
                <w:sz w:val="18"/>
              </w:rPr>
              <w:t>OPEN — all three now cited</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QDISC-0101</w:t>
            </w:r>
          </w:p>
        </w:tc>
        <w:tc>
          <w:tcPr>
            <w:tcW w:type="dxa" w:w="4896"/>
          </w:tcPr>
          <w:p>
            <w:r/>
            <w:r>
              <w:rPr>
                <w:rFonts w:ascii="Calibri" w:hAnsi="Calibri" w:eastAsia="Calibri"/>
                <w:b w:val="0"/>
                <w:i w:val="0"/>
                <w:color w:val="222222"/>
                <w:sz w:val="18"/>
              </w:rPr>
              <w:t>Common word: no worship but God; no human lords</w:t>
            </w:r>
          </w:p>
        </w:tc>
      </w:tr>
      <w:tr>
        <w:tc>
          <w:tcPr>
            <w:tcW w:type="dxa" w:w="4896"/>
            <w:shd w:fill="F4F1EA" w:val="clear"/>
          </w:tcPr>
          <w:p>
            <w:r/>
            <w:r>
              <w:rPr>
                <w:rFonts w:ascii="Calibri" w:hAnsi="Calibri" w:eastAsia="Calibri"/>
                <w:b w:val="0"/>
                <w:i w:val="0"/>
                <w:color w:val="222222"/>
                <w:sz w:val="18"/>
              </w:rPr>
              <w:t>QDISC-0102</w:t>
            </w:r>
          </w:p>
        </w:tc>
        <w:tc>
          <w:tcPr>
            <w:tcW w:type="dxa" w:w="4896"/>
            <w:shd w:fill="F4F1EA" w:val="clear"/>
          </w:tcPr>
          <w:p>
            <w:r/>
            <w:r>
              <w:rPr>
                <w:rFonts w:ascii="Calibri" w:hAnsi="Calibri" w:eastAsia="Calibri"/>
                <w:b w:val="0"/>
                <w:i w:val="0"/>
                <w:color w:val="222222"/>
                <w:sz w:val="18"/>
              </w:rPr>
              <w:t>Abraham neither Jew nor Christian; hanif muslim; nearest are those who follow him and this prophet</w:t>
            </w:r>
          </w:p>
        </w:tc>
      </w:tr>
      <w:tr>
        <w:tc>
          <w:tcPr>
            <w:tcW w:type="dxa" w:w="4896"/>
          </w:tcPr>
          <w:p>
            <w:r/>
            <w:r>
              <w:rPr>
                <w:rFonts w:ascii="Calibri" w:hAnsi="Calibri" w:eastAsia="Calibri"/>
                <w:b w:val="0"/>
                <w:i w:val="0"/>
                <w:color w:val="222222"/>
                <w:sz w:val="18"/>
              </w:rPr>
              <w:t>QDISC-0103</w:t>
            </w:r>
          </w:p>
        </w:tc>
        <w:tc>
          <w:tcPr>
            <w:tcW w:type="dxa" w:w="4896"/>
          </w:tcPr>
          <w:p>
            <w:r/>
            <w:r>
              <w:rPr>
                <w:rFonts w:ascii="Calibri" w:hAnsi="Calibri" w:eastAsia="Calibri"/>
                <w:b w:val="0"/>
                <w:i w:val="0"/>
                <w:color w:val="222222"/>
                <w:sz w:val="18"/>
              </w:rPr>
              <w:t>Twist tongues with the Book; say it is from God and it is not</w:t>
            </w:r>
          </w:p>
        </w:tc>
      </w:tr>
      <w:tr>
        <w:tc>
          <w:tcPr>
            <w:tcW w:type="dxa" w:w="4896"/>
            <w:shd w:fill="F4F1EA" w:val="clear"/>
          </w:tcPr>
          <w:p>
            <w:r/>
            <w:r>
              <w:rPr>
                <w:rFonts w:ascii="Calibri" w:hAnsi="Calibri" w:eastAsia="Calibri"/>
                <w:b w:val="0"/>
                <w:i w:val="0"/>
                <w:color w:val="222222"/>
                <w:sz w:val="18"/>
              </w:rPr>
              <w:t>QDISC-0104</w:t>
            </w:r>
          </w:p>
        </w:tc>
        <w:tc>
          <w:tcPr>
            <w:tcW w:type="dxa" w:w="4896"/>
            <w:shd w:fill="F4F1EA" w:val="clear"/>
          </w:tcPr>
          <w:p>
            <w:r/>
            <w:r>
              <w:rPr>
                <w:rFonts w:ascii="Calibri" w:hAnsi="Calibri" w:eastAsia="Calibri"/>
                <w:b w:val="0"/>
                <w:i w:val="0"/>
                <w:color w:val="222222"/>
                <w:sz w:val="18"/>
              </w:rPr>
              <w:t>No prophet says be my servants; covenant of the prophets to help the confirming messenger</w:t>
            </w:r>
          </w:p>
        </w:tc>
      </w:tr>
      <w:tr>
        <w:tc>
          <w:tcPr>
            <w:tcW w:type="dxa" w:w="4896"/>
          </w:tcPr>
          <w:p>
            <w:r/>
            <w:r>
              <w:rPr>
                <w:rFonts w:ascii="Calibri" w:hAnsi="Calibri" w:eastAsia="Calibri"/>
                <w:b w:val="0"/>
                <w:i w:val="0"/>
                <w:color w:val="222222"/>
                <w:sz w:val="18"/>
              </w:rPr>
              <w:t>QDISC-0105</w:t>
            </w:r>
          </w:p>
        </w:tc>
        <w:tc>
          <w:tcPr>
            <w:tcW w:type="dxa" w:w="4896"/>
          </w:tcPr>
          <w:p>
            <w:r/>
            <w:r>
              <w:rPr>
                <w:rFonts w:ascii="Calibri" w:hAnsi="Calibri" w:eastAsia="Calibri"/>
                <w:b w:val="0"/>
                <w:i w:val="0"/>
                <w:color w:val="222222"/>
                <w:sz w:val="18"/>
              </w:rPr>
              <w:t>Whoever seeks a din other than al-islam: not accepted</w:t>
            </w:r>
          </w:p>
        </w:tc>
      </w:tr>
      <w:tr>
        <w:tc>
          <w:tcPr>
            <w:tcW w:type="dxa" w:w="4896"/>
            <w:shd w:fill="F4F1EA" w:val="clear"/>
          </w:tcPr>
          <w:p>
            <w:r/>
            <w:r>
              <w:rPr>
                <w:rFonts w:ascii="Calibri" w:hAnsi="Calibri" w:eastAsia="Calibri"/>
                <w:b w:val="0"/>
                <w:i w:val="0"/>
                <w:color w:val="222222"/>
                <w:sz w:val="18"/>
              </w:rPr>
              <w:t>QDISC-0106</w:t>
            </w:r>
          </w:p>
        </w:tc>
        <w:tc>
          <w:tcPr>
            <w:tcW w:type="dxa" w:w="4896"/>
            <w:shd w:fill="F4F1EA" w:val="clear"/>
          </w:tcPr>
          <w:p>
            <w:r/>
            <w:r>
              <w:rPr>
                <w:rFonts w:ascii="Calibri" w:hAnsi="Calibri" w:eastAsia="Calibri"/>
                <w:b w:val="0"/>
                <w:i w:val="0"/>
                <w:color w:val="222222"/>
                <w:sz w:val="18"/>
              </w:rPr>
              <w:t>Kufr after witnessing the messenger; gold will not ransom the dead disbeliever</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Abraham is removed from both later labels and seated as ḥanīf muslim. A common word is offered, then 3:85 states that a dīn other than islām will not be accepted. 2:62 remains in the Book. The project does not pretend those two sentences are the same sentence.</w:t>
      </w:r>
    </w:p>
    <w:p>
      <w:pPr>
        <w:spacing w:after="160"/>
      </w:pPr>
      <w:r>
        <w:rPr>
          <w:rFonts w:ascii="Calibri" w:hAnsi="Calibri" w:eastAsia="Calibri"/>
          <w:b w:val="0"/>
          <w:i w:val="0"/>
          <w:color w:val="222222"/>
          <w:sz w:val="22"/>
        </w:rPr>
        <w:t>Next: 3:92–120 (spend what you love; Israel’s food; first House at Bakka; among them a just ummah; do not take intimates from outside).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S003 CP03 vv064-091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S003 CP03 vv064-091</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