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4:29–43 (15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believers, do not consume your property among yourselves by bāṭil, except it be trade by mutual consent. Do not kill yourselves; God is merciful to you. Whoever does that in ʿudwān and ẓulm We shall roast in a Fire. If you avoid the great sins you are forbidden, We will cover your misdeeds and admit you at an honorable entry. Do not wish for that by which God has favored some of you over others. For men a share of what they earned; for women a share of what they earned. Ask God of His bounty. To everyone We have appointed heirs of what parents and nearest leave. Those with whom your right hands have made a compact: give them their share. Men are qawwāmūn over women with what God has favored some of them over others and with what they spend of their property. Ṣāliḥāt are devoutly obedient, guarding the unseen as God has guarded. Those whose nushūz you fear: admonish them, shun them in the beds, and iḍribūhunna. If they obey you, do not seek a way against them. If you fear a split between the two, send an arbiter from his people and an arbiter from her people. If they want to repair, God will reconcile them. Worship God and associate nothing with Him. Iḥsān to parents, to kin, orphans, the poor, the neighbor who is near, the neighbor who is far, the companion at your side, the traveler, and those your right hands possess. God does not love who is proud, boastful — who are stingy and command people stinginess and hide what God has given them. Those who spend their property to be seen of people and do not believe in God and the Last Day. Satan is their companion. What harm would it do them if they believed and spent of what God provided? God does not wrong even the weight of an atom; if it is a good He multiplies it. How will it be when We bring from every ummah a witness and We bring you as a witness against these? Those who disbelieved and barred from God’s way have gone far astray. Those who disbelieved and did ẓulm: God is not about to forgive them or guide them except the path of Jahannam. O people, the messenger has come to you with the truth from your Lord; believe; it is better for you. If you disbelieve, to God belongs what is in the heavens and the earth. O believers, do not approach prayer while you are sukārā until you know what you are saying, nor junub except passing through, until you wash. If you are ill or on a journey or one of you comes from the privy or you have touched women and you find no water, then seek clean earth and wipe your faces and your hands. God is ever pardoning, forgiving.</w:t>
      </w:r>
    </w:p>
    <w:p>
      <w:pPr>
        <w:pStyle w:val="Heading1"/>
      </w:pPr>
      <w:r>
        <w:rPr>
          <w:rFonts w:ascii="Calibri" w:hAnsi="Calibri"/>
          <w:color w:val="1B3A4B"/>
        </w:rPr>
        <w:t>2–3. Investigation</w:t>
      </w:r>
    </w:p>
    <w:p>
      <w:pPr>
        <w:pStyle w:val="Heading2"/>
      </w:pPr>
      <w:r>
        <w:rPr>
          <w:rFonts w:ascii="Calibri" w:hAnsi="Calibri"/>
          <w:color w:val="1B3A4B"/>
        </w:rPr>
        <w:t>4:29–31 property; do not kill yourselves; kabāʾir</w:t>
      </w:r>
    </w:p>
    <w:p>
      <w:pPr>
        <w:spacing w:after="160"/>
      </w:pPr>
      <w:r>
        <w:rPr>
          <w:rFonts w:ascii="Calibri" w:hAnsi="Calibri" w:eastAsia="Calibri"/>
          <w:b w:val="0"/>
          <w:i w:val="0"/>
          <w:color w:val="222222"/>
          <w:sz w:val="22"/>
        </w:rPr>
        <w:t>Property: no bāṭil consumption except tijāra by mutual consent. Lā taqtulū anfusakum — do not kill yourselves / one another (both hearings live). Aggression and ẓulm → Fire. Avoid the kabāʾir you are forbidden and smaller deeds are covered. This is not a list of the kabāʾir; it is a covering-promise if they are avoided.</w:t>
      </w:r>
    </w:p>
    <w:p>
      <w:pPr>
        <w:pStyle w:val="Heading2"/>
      </w:pPr>
      <w:r>
        <w:rPr>
          <w:rFonts w:ascii="Calibri" w:hAnsi="Calibri"/>
          <w:color w:val="1B3A4B"/>
        </w:rPr>
        <w:t>4:32–33 shares earned; appointed heirs; compact</w:t>
      </w:r>
    </w:p>
    <w:p>
      <w:pPr>
        <w:spacing w:after="160"/>
      </w:pPr>
      <w:r>
        <w:rPr>
          <w:rFonts w:ascii="Calibri" w:hAnsi="Calibri" w:eastAsia="Calibri"/>
          <w:b w:val="0"/>
          <w:i w:val="0"/>
          <w:color w:val="222222"/>
          <w:sz w:val="22"/>
        </w:rPr>
        <w:t>Do not wish what God used to favor some over others. Men have a share of what they earned; women have a share of what they earned. Ask God of His bounty. Heirs appointed for what parents and kin leave. Those your right hands contracted: give them their share. 4:32 is often read against envying the 4:11 male-double share; Level 1 is earned-share plus a ban on wishing the other’s favor. Compact-heirs interact with later ʿaqd / walāʾ law (Level 4).</w:t>
      </w:r>
    </w:p>
    <w:p>
      <w:pPr>
        <w:pStyle w:val="Heading2"/>
      </w:pPr>
      <w:r>
        <w:rPr>
          <w:rFonts w:ascii="Calibri" w:hAnsi="Calibri"/>
          <w:color w:val="1B3A4B"/>
        </w:rPr>
        <w:t>4:34–35 qawwāmūn; nushūz sequence; two arbiters</w:t>
      </w:r>
    </w:p>
    <w:p>
      <w:pPr>
        <w:spacing w:after="160"/>
      </w:pPr>
      <w:r>
        <w:rPr>
          <w:rFonts w:ascii="Calibri" w:hAnsi="Calibri" w:eastAsia="Calibri"/>
          <w:b w:val="0"/>
          <w:i w:val="0"/>
          <w:color w:val="222222"/>
          <w:sz w:val="22"/>
        </w:rPr>
        <w:t>Al-rijālu qawwāmūna ʿalā l-nisāʾi bi-mā faḍḍala llāhu baʿḍahum ʿalā baʿḍin wa-bi-mā anfaqū. Ṣāliḥāt: qānitāt, guarding the unseen as God guarded. Those whose nushūz you fear: ʿiẓūhunna, wahjurūhunna fī l-maḍājiʿ, wa-ḍribūhunna. If they obey you, do not seek a way against them. If you fear a split: an arbiter from his people and from hers; if they want iṣlāḥ God will reconcile.</w:t>
      </w:r>
    </w:p>
    <w:p>
      <w:pPr>
        <w:spacing w:after="160"/>
      </w:pPr>
      <w:r>
        <w:rPr>
          <w:rFonts w:ascii="Calibri" w:hAnsi="Calibri" w:eastAsia="Calibri"/>
          <w:b w:val="0"/>
          <w:i w:val="0"/>
          <w:color w:val="222222"/>
          <w:sz w:val="22"/>
        </w:rPr>
        <w:t>Level 1: a maintenance-and-favor basis for qiwāma; a three-step response to feared nushūz; a hard stop if obedience returns; a two-family arbitration if a split is feared.</w:t>
      </w:r>
    </w:p>
    <w:p>
      <w:pPr>
        <w:spacing w:after="160"/>
      </w:pPr>
      <w:r>
        <w:rPr>
          <w:rFonts w:ascii="Calibri" w:hAnsi="Calibri" w:eastAsia="Calibri"/>
          <w:b w:val="0"/>
          <w:i w:val="0"/>
          <w:color w:val="222222"/>
          <w:sz w:val="22"/>
        </w:rPr>
        <w:t>Ḍaraba in Arabic has a wide range (strike, set forth, turn away, separate). Classical tafsīr majority heard a constrained strike. Some modern readings hear separation / departure. This packet records the range. It does not treat the verse as a license-manual. 4:19 (live with them bi-l-maʿrūf) and 4:35 (arbiters) sit in the same surah.</w:t>
      </w:r>
    </w:p>
    <w:p>
      <w:pPr>
        <w:spacing w:after="160"/>
      </w:pPr>
      <w:r>
        <w:rPr>
          <w:rFonts w:ascii="Calibri" w:hAnsi="Calibri" w:eastAsia="Calibri"/>
          <w:b w:val="0"/>
          <w:i w:val="0"/>
          <w:color w:val="222222"/>
          <w:sz w:val="22"/>
        </w:rPr>
        <w:t>QB-0086: PARTIAL AGREEMENT with household-authority language in the HB and NT (Gen 3:16; Eph 5:22–33; 1 Pet 3:1–7). DIFFERENCE: Eph 5 frames husband-headship inside Christ’s self-giving; 4:34 frames qiwāma inside favor-and-spending and names a nushūz sequence. Neither text is the other text.</w:t>
      </w:r>
    </w:p>
    <w:p>
      <w:pPr>
        <w:pStyle w:val="Heading2"/>
      </w:pPr>
      <w:r>
        <w:rPr>
          <w:rFonts w:ascii="Calibri" w:hAnsi="Calibri"/>
          <w:color w:val="1B3A4B"/>
        </w:rPr>
        <w:t>4:36–42 iḥsān list; atom-weight; you as witness</w:t>
      </w:r>
    </w:p>
    <w:p>
      <w:pPr>
        <w:spacing w:after="160"/>
      </w:pPr>
      <w:r>
        <w:rPr>
          <w:rFonts w:ascii="Calibri" w:hAnsi="Calibri" w:eastAsia="Calibri"/>
          <w:b w:val="0"/>
          <w:i w:val="0"/>
          <w:color w:val="222222"/>
          <w:sz w:val="22"/>
        </w:rPr>
        <w:t>Worship God; no shirk. Iḥsān to parents, kin, orphans, poor, near neighbor, far neighbor, companion at your side, traveler, those the right hand possesses. God does not love the proud who are stingy and command stinginess and hide God’s gift, nor those who spend to be seen and do not believe. Satan is their qarīn. God does not wrong an atom; good is multiplied. The addressee is brought as a witness against “these.” Those who disbelieved and did ẓulm: not forgiven, not guided except the path of Jahannam. The messenger has come with truth; believe; if you disbelieve, the heavens are still God’s.</w:t>
      </w:r>
    </w:p>
    <w:p>
      <w:pPr>
        <w:pStyle w:val="Heading2"/>
      </w:pPr>
      <w:r>
        <w:rPr>
          <w:rFonts w:ascii="Calibri" w:hAnsi="Calibri"/>
          <w:color w:val="1B3A4B"/>
        </w:rPr>
        <w:t>4:43 prayer: sukārā; janāba; tayammum</w:t>
      </w:r>
    </w:p>
    <w:p>
      <w:pPr>
        <w:spacing w:after="160"/>
      </w:pPr>
      <w:r>
        <w:rPr>
          <w:rFonts w:ascii="Calibri" w:hAnsi="Calibri" w:eastAsia="Calibri"/>
          <w:b w:val="0"/>
          <w:i w:val="0"/>
          <w:color w:val="222222"/>
          <w:sz w:val="22"/>
        </w:rPr>
        <w:t>Do not approach ṣalāh while sukārā until you know what you are saying. Do not approach junub except passing through, until you wash. Ill, journey, privy, or lāmastumu l-nisāʾ, and no water: seek ṣaʿīdan ṭayyiban and wipe faces and hands.</w:t>
      </w:r>
    </w:p>
    <w:p>
      <w:pPr>
        <w:spacing w:after="160"/>
      </w:pPr>
      <w:r>
        <w:rPr>
          <w:rFonts w:ascii="Calibri" w:hAnsi="Calibri" w:eastAsia="Calibri"/>
          <w:b w:val="0"/>
          <w:i w:val="0"/>
          <w:color w:val="222222"/>
          <w:sz w:val="22"/>
        </w:rPr>
        <w:t>Wine path in this project: 2:219 (sin greater than benefit) → 4:43 (do not pray drunk) → 5:90 (avoid). 4:43 is the middle step, not the final ban. Lāmastum: “touch” vs “sexual contact” is a live fiqh split; both hearings exist. Tayammum is dry substitute when water is missing or unusable.</w:t>
      </w:r>
    </w:p>
    <w:p>
      <w:pPr>
        <w:spacing w:after="160"/>
      </w:pPr>
      <w:r>
        <w:rPr>
          <w:rFonts w:ascii="Calibri" w:hAnsi="Calibri" w:eastAsia="Calibri"/>
          <w:b w:val="0"/>
          <w:i w:val="0"/>
          <w:color w:val="222222"/>
          <w:sz w:val="22"/>
        </w:rPr>
        <w:t>QB-0087: PARTIAL AGREEMENT that cult requires sobriety and purity (Lev 10:9 priests not to drink when entering the tent; 1 Cor 11 unworthiness at the table). Tayammum as earth-wipe has no exact Torah twin.</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qawwamun</w:t>
            </w:r>
          </w:p>
        </w:tc>
        <w:tc>
          <w:tcPr>
            <w:tcW w:type="dxa" w:w="4896"/>
          </w:tcPr>
          <w:p>
            <w:r/>
            <w:r>
              <w:rPr>
                <w:rFonts w:ascii="Calibri" w:hAnsi="Calibri" w:eastAsia="Calibri"/>
                <w:b w:val="0"/>
                <w:i w:val="0"/>
                <w:color w:val="222222"/>
                <w:sz w:val="18"/>
              </w:rPr>
              <w:t>standers-over / maintainers — sense argued</w:t>
            </w:r>
          </w:p>
        </w:tc>
      </w:tr>
      <w:tr>
        <w:tc>
          <w:tcPr>
            <w:tcW w:type="dxa" w:w="4896"/>
            <w:shd w:fill="F4F1EA" w:val="clear"/>
          </w:tcPr>
          <w:p>
            <w:r/>
            <w:r>
              <w:rPr>
                <w:rFonts w:ascii="Calibri" w:hAnsi="Calibri" w:eastAsia="Calibri"/>
                <w:b w:val="0"/>
                <w:i w:val="0"/>
                <w:color w:val="222222"/>
                <w:sz w:val="18"/>
              </w:rPr>
              <w:t>nushuz</w:t>
            </w:r>
          </w:p>
        </w:tc>
        <w:tc>
          <w:tcPr>
            <w:tcW w:type="dxa" w:w="4896"/>
            <w:shd w:fill="F4F1EA" w:val="clear"/>
          </w:tcPr>
          <w:p>
            <w:r/>
            <w:r>
              <w:rPr>
                <w:rFonts w:ascii="Calibri" w:hAnsi="Calibri" w:eastAsia="Calibri"/>
                <w:b w:val="0"/>
                <w:i w:val="0"/>
                <w:color w:val="222222"/>
                <w:sz w:val="18"/>
              </w:rPr>
              <w:t>rising against / marital recalcitrance — sense argued</w:t>
            </w:r>
          </w:p>
        </w:tc>
      </w:tr>
      <w:tr>
        <w:tc>
          <w:tcPr>
            <w:tcW w:type="dxa" w:w="4896"/>
          </w:tcPr>
          <w:p>
            <w:r/>
            <w:r>
              <w:rPr>
                <w:rFonts w:ascii="Calibri" w:hAnsi="Calibri" w:eastAsia="Calibri"/>
                <w:b w:val="0"/>
                <w:i w:val="0"/>
                <w:color w:val="222222"/>
                <w:sz w:val="18"/>
              </w:rPr>
              <w:t>idribuhunna</w:t>
            </w:r>
          </w:p>
        </w:tc>
        <w:tc>
          <w:tcPr>
            <w:tcW w:type="dxa" w:w="4896"/>
          </w:tcPr>
          <w:p>
            <w:r/>
            <w:r>
              <w:rPr>
                <w:rFonts w:ascii="Calibri" w:hAnsi="Calibri" w:eastAsia="Calibri"/>
                <w:b w:val="0"/>
                <w:i w:val="0"/>
                <w:color w:val="222222"/>
                <w:sz w:val="18"/>
              </w:rPr>
              <w:t>strike / separate / set forth — range live</w:t>
            </w:r>
          </w:p>
        </w:tc>
      </w:tr>
      <w:tr>
        <w:tc>
          <w:tcPr>
            <w:tcW w:type="dxa" w:w="4896"/>
            <w:shd w:fill="F4F1EA" w:val="clear"/>
          </w:tcPr>
          <w:p>
            <w:r/>
            <w:r>
              <w:rPr>
                <w:rFonts w:ascii="Calibri" w:hAnsi="Calibri" w:eastAsia="Calibri"/>
                <w:b w:val="0"/>
                <w:i w:val="0"/>
                <w:color w:val="222222"/>
                <w:sz w:val="18"/>
              </w:rPr>
              <w:t>sukara</w:t>
            </w:r>
          </w:p>
        </w:tc>
        <w:tc>
          <w:tcPr>
            <w:tcW w:type="dxa" w:w="4896"/>
            <w:shd w:fill="F4F1EA" w:val="clear"/>
          </w:tcPr>
          <w:p>
            <w:r/>
            <w:r>
              <w:rPr>
                <w:rFonts w:ascii="Calibri" w:hAnsi="Calibri" w:eastAsia="Calibri"/>
                <w:b w:val="0"/>
                <w:i w:val="0"/>
                <w:color w:val="222222"/>
                <w:sz w:val="18"/>
              </w:rPr>
              <w:t>intoxicated</w:t>
            </w:r>
          </w:p>
        </w:tc>
      </w:tr>
      <w:tr>
        <w:tc>
          <w:tcPr>
            <w:tcW w:type="dxa" w:w="4896"/>
          </w:tcPr>
          <w:p>
            <w:r/>
            <w:r>
              <w:rPr>
                <w:rFonts w:ascii="Calibri" w:hAnsi="Calibri" w:eastAsia="Calibri"/>
                <w:b w:val="0"/>
                <w:i w:val="0"/>
                <w:color w:val="222222"/>
                <w:sz w:val="18"/>
              </w:rPr>
              <w:t>tayammum / sa'id tayyib</w:t>
            </w:r>
          </w:p>
        </w:tc>
        <w:tc>
          <w:tcPr>
            <w:tcW w:type="dxa" w:w="4896"/>
          </w:tcPr>
          <w:p>
            <w:r/>
            <w:r>
              <w:rPr>
                <w:rFonts w:ascii="Calibri" w:hAnsi="Calibri" w:eastAsia="Calibri"/>
                <w:b w:val="0"/>
                <w:i w:val="0"/>
                <w:color w:val="222222"/>
                <w:sz w:val="18"/>
              </w:rPr>
              <w:t>aiming at clean earth</w:t>
            </w:r>
          </w:p>
        </w:tc>
      </w:tr>
      <w:tr>
        <w:tc>
          <w:tcPr>
            <w:tcW w:type="dxa" w:w="4896"/>
            <w:shd w:fill="F4F1EA" w:val="clear"/>
          </w:tcPr>
          <w:p>
            <w:r/>
            <w:r>
              <w:rPr>
                <w:rFonts w:ascii="Calibri" w:hAnsi="Calibri" w:eastAsia="Calibri"/>
                <w:b w:val="0"/>
                <w:i w:val="0"/>
                <w:color w:val="222222"/>
                <w:sz w:val="18"/>
              </w:rPr>
              <w:t>lamastum al-nisa</w:t>
            </w:r>
          </w:p>
        </w:tc>
        <w:tc>
          <w:tcPr>
            <w:tcW w:type="dxa" w:w="4896"/>
            <w:shd w:fill="F4F1EA" w:val="clear"/>
          </w:tcPr>
          <w:p>
            <w:r/>
            <w:r>
              <w:rPr>
                <w:rFonts w:ascii="Calibri" w:hAnsi="Calibri" w:eastAsia="Calibri"/>
                <w:b w:val="0"/>
                <w:i w:val="0"/>
                <w:color w:val="222222"/>
                <w:sz w:val="18"/>
              </w:rPr>
              <w:t>touched / had contact — split</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QB-0086</w:t>
            </w:r>
          </w:p>
        </w:tc>
        <w:tc>
          <w:tcPr>
            <w:tcW w:type="dxa" w:w="3264"/>
          </w:tcPr>
          <w:p>
            <w:r/>
            <w:r>
              <w:rPr>
                <w:rFonts w:ascii="Calibri" w:hAnsi="Calibri" w:eastAsia="Calibri"/>
                <w:b w:val="0"/>
                <w:i w:val="0"/>
                <w:color w:val="222222"/>
                <w:sz w:val="18"/>
              </w:rPr>
              <w:t>Qiwama / nushuz sequence</w:t>
            </w:r>
          </w:p>
        </w:tc>
        <w:tc>
          <w:tcPr>
            <w:tcW w:type="dxa" w:w="3264"/>
          </w:tcPr>
          <w:p>
            <w:r/>
            <w:r>
              <w:rPr>
                <w:rFonts w:ascii="Calibri" w:hAnsi="Calibri" w:eastAsia="Calibri"/>
                <w:b w:val="0"/>
                <w:i w:val="0"/>
                <w:color w:val="222222"/>
                <w:sz w:val="18"/>
              </w:rPr>
              <w:t>PARTIAL AGREEMENT with household-order texts; different framing from Eph 5</w:t>
            </w:r>
          </w:p>
        </w:tc>
      </w:tr>
      <w:tr>
        <w:tc>
          <w:tcPr>
            <w:tcW w:type="dxa" w:w="3264"/>
            <w:shd w:fill="F4F1EA" w:val="clear"/>
          </w:tcPr>
          <w:p>
            <w:r/>
            <w:r>
              <w:rPr>
                <w:rFonts w:ascii="Calibri" w:hAnsi="Calibri" w:eastAsia="Calibri"/>
                <w:b w:val="0"/>
                <w:i w:val="0"/>
                <w:color w:val="222222"/>
                <w:sz w:val="18"/>
              </w:rPr>
              <w:t>QB-0087</w:t>
            </w:r>
          </w:p>
        </w:tc>
        <w:tc>
          <w:tcPr>
            <w:tcW w:type="dxa" w:w="3264"/>
            <w:shd w:fill="F4F1EA" w:val="clear"/>
          </w:tcPr>
          <w:p>
            <w:r/>
            <w:r>
              <w:rPr>
                <w:rFonts w:ascii="Calibri" w:hAnsi="Calibri" w:eastAsia="Calibri"/>
                <w:b w:val="0"/>
                <w:i w:val="0"/>
                <w:color w:val="222222"/>
                <w:sz w:val="18"/>
              </w:rPr>
              <w:t>No prayer while drunk; purity; earth-wipe</w:t>
            </w:r>
          </w:p>
        </w:tc>
        <w:tc>
          <w:tcPr>
            <w:tcW w:type="dxa" w:w="3264"/>
            <w:shd w:fill="F4F1EA" w:val="clear"/>
          </w:tcPr>
          <w:p>
            <w:r/>
            <w:r>
              <w:rPr>
                <w:rFonts w:ascii="Calibri" w:hAnsi="Calibri" w:eastAsia="Calibri"/>
                <w:b w:val="0"/>
                <w:i w:val="0"/>
                <w:color w:val="222222"/>
                <w:sz w:val="18"/>
              </w:rPr>
              <w:t>PARTIAL AGREEMENT on sober cult; tayammum is ADDITION</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QDISC-0141</w:t>
            </w:r>
          </w:p>
        </w:tc>
        <w:tc>
          <w:tcPr>
            <w:tcW w:type="dxa" w:w="4896"/>
          </w:tcPr>
          <w:p>
            <w:r/>
            <w:r>
              <w:rPr>
                <w:rFonts w:ascii="Calibri" w:hAnsi="Calibri" w:eastAsia="Calibri"/>
                <w:b w:val="0"/>
                <w:i w:val="0"/>
                <w:color w:val="222222"/>
                <w:sz w:val="18"/>
              </w:rPr>
              <w:t>No batil consumption except consented trade; do not kill yourselves</w:t>
            </w:r>
          </w:p>
        </w:tc>
      </w:tr>
      <w:tr>
        <w:tc>
          <w:tcPr>
            <w:tcW w:type="dxa" w:w="4896"/>
            <w:shd w:fill="F4F1EA" w:val="clear"/>
          </w:tcPr>
          <w:p>
            <w:r/>
            <w:r>
              <w:rPr>
                <w:rFonts w:ascii="Calibri" w:hAnsi="Calibri" w:eastAsia="Calibri"/>
                <w:b w:val="0"/>
                <w:i w:val="0"/>
                <w:color w:val="222222"/>
                <w:sz w:val="18"/>
              </w:rPr>
              <w:t>QDISC-0142</w:t>
            </w:r>
          </w:p>
        </w:tc>
        <w:tc>
          <w:tcPr>
            <w:tcW w:type="dxa" w:w="4896"/>
            <w:shd w:fill="F4F1EA" w:val="clear"/>
          </w:tcPr>
          <w:p>
            <w:r/>
            <w:r>
              <w:rPr>
                <w:rFonts w:ascii="Calibri" w:hAnsi="Calibri" w:eastAsia="Calibri"/>
                <w:b w:val="0"/>
                <w:i w:val="0"/>
                <w:color w:val="222222"/>
                <w:sz w:val="18"/>
              </w:rPr>
              <w:t>Avoid kabair and lesser deeds are covered; do not wish another's favor; earned shares</w:t>
            </w:r>
          </w:p>
        </w:tc>
      </w:tr>
      <w:tr>
        <w:tc>
          <w:tcPr>
            <w:tcW w:type="dxa" w:w="4896"/>
          </w:tcPr>
          <w:p>
            <w:r/>
            <w:r>
              <w:rPr>
                <w:rFonts w:ascii="Calibri" w:hAnsi="Calibri" w:eastAsia="Calibri"/>
                <w:b w:val="0"/>
                <w:i w:val="0"/>
                <w:color w:val="222222"/>
                <w:sz w:val="18"/>
              </w:rPr>
              <w:t>QDISC-0143</w:t>
            </w:r>
          </w:p>
        </w:tc>
        <w:tc>
          <w:tcPr>
            <w:tcW w:type="dxa" w:w="4896"/>
          </w:tcPr>
          <w:p>
            <w:r/>
            <w:r>
              <w:rPr>
                <w:rFonts w:ascii="Calibri" w:hAnsi="Calibri" w:eastAsia="Calibri"/>
                <w:b w:val="0"/>
                <w:i w:val="0"/>
                <w:color w:val="222222"/>
                <w:sz w:val="18"/>
              </w:rPr>
              <w:t>Men qawwamun; three-step nushuz; two arbiters if split feared</w:t>
            </w:r>
          </w:p>
        </w:tc>
      </w:tr>
      <w:tr>
        <w:tc>
          <w:tcPr>
            <w:tcW w:type="dxa" w:w="4896"/>
            <w:shd w:fill="F4F1EA" w:val="clear"/>
          </w:tcPr>
          <w:p>
            <w:r/>
            <w:r>
              <w:rPr>
                <w:rFonts w:ascii="Calibri" w:hAnsi="Calibri" w:eastAsia="Calibri"/>
                <w:b w:val="0"/>
                <w:i w:val="0"/>
                <w:color w:val="222222"/>
                <w:sz w:val="18"/>
              </w:rPr>
              <w:t>QDISC-0144</w:t>
            </w:r>
          </w:p>
        </w:tc>
        <w:tc>
          <w:tcPr>
            <w:tcW w:type="dxa" w:w="4896"/>
            <w:shd w:fill="F4F1EA" w:val="clear"/>
          </w:tcPr>
          <w:p>
            <w:r/>
            <w:r>
              <w:rPr>
                <w:rFonts w:ascii="Calibri" w:hAnsi="Calibri" w:eastAsia="Calibri"/>
                <w:b w:val="0"/>
                <w:i w:val="0"/>
                <w:color w:val="222222"/>
                <w:sz w:val="18"/>
              </w:rPr>
              <w:t>Ihsan list including neighbors and right-hand possess; atom-weight justice</w:t>
            </w:r>
          </w:p>
        </w:tc>
      </w:tr>
      <w:tr>
        <w:tc>
          <w:tcPr>
            <w:tcW w:type="dxa" w:w="4896"/>
          </w:tcPr>
          <w:p>
            <w:r/>
            <w:r>
              <w:rPr>
                <w:rFonts w:ascii="Calibri" w:hAnsi="Calibri" w:eastAsia="Calibri"/>
                <w:b w:val="0"/>
                <w:i w:val="0"/>
                <w:color w:val="222222"/>
                <w:sz w:val="18"/>
              </w:rPr>
              <w:t>QDISC-0145</w:t>
            </w:r>
          </w:p>
        </w:tc>
        <w:tc>
          <w:tcPr>
            <w:tcW w:type="dxa" w:w="4896"/>
          </w:tcPr>
          <w:p>
            <w:r/>
            <w:r>
              <w:rPr>
                <w:rFonts w:ascii="Calibri" w:hAnsi="Calibri" w:eastAsia="Calibri"/>
                <w:b w:val="0"/>
                <w:i w:val="0"/>
                <w:color w:val="222222"/>
                <w:sz w:val="18"/>
              </w:rPr>
              <w:t>Messenger as witness; believe he has come with truth</w:t>
            </w:r>
          </w:p>
        </w:tc>
      </w:tr>
      <w:tr>
        <w:tc>
          <w:tcPr>
            <w:tcW w:type="dxa" w:w="4896"/>
            <w:shd w:fill="F4F1EA" w:val="clear"/>
          </w:tcPr>
          <w:p>
            <w:r/>
            <w:r>
              <w:rPr>
                <w:rFonts w:ascii="Calibri" w:hAnsi="Calibri" w:eastAsia="Calibri"/>
                <w:b w:val="0"/>
                <w:i w:val="0"/>
                <w:color w:val="222222"/>
                <w:sz w:val="18"/>
              </w:rPr>
              <w:t>QDISC-0146</w:t>
            </w:r>
          </w:p>
        </w:tc>
        <w:tc>
          <w:tcPr>
            <w:tcW w:type="dxa" w:w="4896"/>
            <w:shd w:fill="F4F1EA" w:val="clear"/>
          </w:tcPr>
          <w:p>
            <w:r/>
            <w:r>
              <w:rPr>
                <w:rFonts w:ascii="Calibri" w:hAnsi="Calibri" w:eastAsia="Calibri"/>
                <w:b w:val="0"/>
                <w:i w:val="0"/>
                <w:color w:val="222222"/>
                <w:sz w:val="18"/>
              </w:rPr>
              <w:t>No salah while drunk or junub; tayammum when no water</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Trade by consent; no self-killing; kabāʾir covering; earned shares for men and women. 4:34–35 is the household-authority panel: qiwāma tied to favor and spending, a three-step nushūz sequence whose third verb is argued, then two-family arbitration. Wine is not yet 5:90; it is already barred from prayer. Earth stands in for water.</w:t>
      </w:r>
    </w:p>
    <w:p>
      <w:pPr>
        <w:spacing w:after="160"/>
      </w:pPr>
      <w:r>
        <w:rPr>
          <w:rFonts w:ascii="Calibri" w:hAnsi="Calibri" w:eastAsia="Calibri"/>
          <w:b w:val="0"/>
          <w:i w:val="0"/>
          <w:color w:val="222222"/>
          <w:sz w:val="22"/>
        </w:rPr>
        <w:t>Next: 4:44–70 (those given a portion of the Book, magic slander already met at 2:102, obey God and the messenger, if you differ take it to God and the messenger).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CP02 vv029-043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CP02 vv029-043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