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S006 — AL-ANʿĀM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6:74–90 (17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When Abraham said to his father Āzar: do you take idols as gods? I see you and your people in clear error. Thus We showed Abraham the realm of the heavens and the earth that he would be of those who are certain. When the night covered him he saw a star. He said this is my lord. When it set he said I do not love those that set. When he saw the moon rising he said this is my lord. When it set he said unless my Lord guides me I will be of the people who go astray. When he saw the sun rising he said this is my lord; this is greater. When it set he said O my people I am free of what you associate. I have turned my face to the One who originated the heavens and the earth, ḥanīfan, and I am not of the associators. His people argued with him. He said: do you argue with me about God when He has guided me? I do not fear what you associate unless my Lord should will something. My Lord encompasses all things in knowledge. How should I fear what you associate when you do not fear that you have associated with God that for which He sent down no authority? Which of the two parties has more right to security, if you know? Those who believe and do not mix their īmān with ẓulm — they have security and they are guided. That is Our ḥujja We gave Abraham against his people. We raise in degrees whom We will. Your Lord is Wise, Knowing. We gave him Isaac and Jacob; each We guided. Noah We guided before. Of his descendants: David, Solomon, Job, Joseph, Moses, Aaron — thus We repay the good-doers. Zechariah, John, Jesus, Elias — each of the righteous. Ishmael, Elisha, Jonah, Lot — each We preferred over the worlds. And of their fathers and descendants and brothers; We chose them and guided them to a straight path. That is God’s guidance; He guides by it whom He wills of His servants. If they had associated, what they did would have been fruitless. Those are the ones We gave the Book and the ḥukm and the prophethood. If these disbelieve in it, We have entrusted it to a people who are not disbelievers in it. Those are the ones God has guided; so follow their guidance. Say: I ask you no wage for it. It is only a reminder to the worlds.</w:t>
      </w:r>
    </w:p>
    <w:p>
      <w:pPr>
        <w:pStyle w:val="Heading1"/>
      </w:pPr>
      <w:r>
        <w:rPr>
          <w:rFonts w:ascii="Calibri" w:hAnsi="Calibri"/>
          <w:color w:val="1B3A4B"/>
        </w:rPr>
        <w:t>2–3. Investigation</w:t>
      </w:r>
    </w:p>
    <w:p>
      <w:pPr>
        <w:pStyle w:val="Heading2"/>
      </w:pPr>
      <w:r>
        <w:rPr>
          <w:rFonts w:ascii="Calibri" w:hAnsi="Calibri"/>
          <w:color w:val="1B3A4B"/>
        </w:rPr>
        <w:t>6:74 Āzar</w:t>
      </w:r>
    </w:p>
    <w:p>
      <w:pPr>
        <w:spacing w:after="160"/>
      </w:pPr>
      <w:r>
        <w:rPr>
          <w:rFonts w:ascii="Calibri" w:hAnsi="Calibri" w:eastAsia="Calibri"/>
          <w:b w:val="0"/>
          <w:i w:val="0"/>
          <w:color w:val="222222"/>
          <w:sz w:val="22"/>
        </w:rPr>
        <w:t>Abraham’s father is named Āzar and charged with taking idols as gods. Genesis names Terah (Gen 11:26–32). Tafsir and polemic argue whether Āzar is Terah, an uncle, or a title. Level 1 is the name Āzar plus an idol-charge. QB-0144: SAME ROLE (father/household idolatry), DIFFERENT NAME.</w:t>
      </w:r>
    </w:p>
    <w:p>
      <w:pPr>
        <w:pStyle w:val="Heading2"/>
      </w:pPr>
      <w:r>
        <w:rPr>
          <w:rFonts w:ascii="Calibri" w:hAnsi="Calibri"/>
          <w:color w:val="1B3A4B"/>
        </w:rPr>
        <w:t>6:75–79 star, moon, sun — they set</w:t>
      </w:r>
    </w:p>
    <w:p>
      <w:pPr>
        <w:spacing w:after="160"/>
      </w:pPr>
      <w:r>
        <w:rPr>
          <w:rFonts w:ascii="Calibri" w:hAnsi="Calibri" w:eastAsia="Calibri"/>
          <w:b w:val="0"/>
          <w:i w:val="0"/>
          <w:color w:val="222222"/>
          <w:sz w:val="22"/>
        </w:rPr>
        <w:t>God shows him the malakūt of heaven and earth so he will be certain. Night covers him. A star: this is my lord. It sets: I do not love those that set. Moon rising: this is my lord. It sets: unless my Lord guides me I will go astray. Sun rising: this is my lord; this is greater. It sets: I am free of what you associate. I have turned my face to the One who originated heavens and earth, ḥanīfan; I am not of the associators.</w:t>
      </w:r>
    </w:p>
    <w:p>
      <w:pPr>
        <w:spacing w:after="160"/>
      </w:pPr>
      <w:r>
        <w:rPr>
          <w:rFonts w:ascii="Calibri" w:hAnsi="Calibri" w:eastAsia="Calibri"/>
          <w:b w:val="0"/>
          <w:i w:val="0"/>
          <w:color w:val="222222"/>
          <w:sz w:val="22"/>
        </w:rPr>
        <w:t>Tafsir splits: a genuine search staged for his people, or a rhetorical trap. Level 1 is the three-beat: claim, setting, rejection. What fails is not brightness. What fails is afala — going down. A lord that disappears is refused.</w:t>
      </w:r>
    </w:p>
    <w:p>
      <w:pPr>
        <w:spacing w:after="160"/>
      </w:pPr>
      <w:r>
        <w:rPr>
          <w:rFonts w:ascii="Calibri" w:hAnsi="Calibri" w:eastAsia="Calibri"/>
          <w:b w:val="0"/>
          <w:i w:val="0"/>
          <w:color w:val="222222"/>
          <w:sz w:val="22"/>
        </w:rPr>
        <w:t>QB-0145: This is not Genesis 1 day 4 (luminaries as lamps and signs). It is not Gen 15’s star-covenant (descendants as stars). It is a polemic against taking the lamps as rabb. Nearest cousins are later Jewish and Christian anti-astral polemic and Wis 13’s critique of nature-worship — POSSIBLE RELATIONSHIP, not a Genesis scene. CONTRAST with any reading that makes Abraham an astronomer converting himself from scratch; 6:75 says We showed him so he would be certain.</w:t>
      </w:r>
    </w:p>
    <w:p>
      <w:pPr>
        <w:pStyle w:val="Heading2"/>
      </w:pPr>
      <w:r>
        <w:rPr>
          <w:rFonts w:ascii="Calibri" w:hAnsi="Calibri"/>
          <w:color w:val="1B3A4B"/>
        </w:rPr>
        <w:t>6:80–83 argument; ḥujja; security without ẓulm</w:t>
      </w:r>
    </w:p>
    <w:p>
      <w:pPr>
        <w:spacing w:after="160"/>
      </w:pPr>
      <w:r>
        <w:rPr>
          <w:rFonts w:ascii="Calibri" w:hAnsi="Calibri" w:eastAsia="Calibri"/>
          <w:b w:val="0"/>
          <w:i w:val="0"/>
          <w:color w:val="222222"/>
          <w:sz w:val="22"/>
        </w:rPr>
        <w:t>His people argue. He does not fear their associates unless his Lord wills. How should I fear what you associate when you do not fear associating that for which no authority was sent down? Those who believe and do not mix īmān with ẓulm have security and guidance. That is Our ḥujja given to Abraham against his people. Degrees raised. Wise, Knowing.</w:t>
      </w:r>
    </w:p>
    <w:p>
      <w:pPr>
        <w:spacing w:after="160"/>
      </w:pPr>
      <w:r>
        <w:rPr>
          <w:rFonts w:ascii="Calibri" w:hAnsi="Calibri" w:eastAsia="Calibri"/>
          <w:b w:val="0"/>
          <w:i w:val="0"/>
          <w:color w:val="222222"/>
          <w:sz w:val="22"/>
        </w:rPr>
        <w:t>Ẓulm here is heard in tafsir as shirk (via 31:13). Level 1 is īmān unmixed with ẓulm as the security-condition.</w:t>
      </w:r>
    </w:p>
    <w:p>
      <w:pPr>
        <w:pStyle w:val="Heading2"/>
      </w:pPr>
      <w:r>
        <w:rPr>
          <w:rFonts w:ascii="Calibri" w:hAnsi="Calibri"/>
          <w:color w:val="1B3A4B"/>
        </w:rPr>
        <w:t>6:84–90 the gift-list</w:t>
      </w:r>
    </w:p>
    <w:p>
      <w:pPr>
        <w:spacing w:after="160"/>
      </w:pPr>
      <w:r>
        <w:rPr>
          <w:rFonts w:ascii="Calibri" w:hAnsi="Calibri" w:eastAsia="Calibri"/>
          <w:b w:val="0"/>
          <w:i w:val="0"/>
          <w:color w:val="222222"/>
          <w:sz w:val="22"/>
        </w:rPr>
        <w:t>Isaac and Jacob given and guided. Noah guided before. From his descendants: David, Solomon, Job, Joseph, Moses, Aaron. Then Zechariah, John, Jesus, Elias — righteous. Then Ishmael, Elisha, Jonah, Lot — preferred over the worlds. Fathers, descendants, brothers chosen and guided. If they had associated, their work would be fruitless. These were given Book, ḥukm, prophethood. If these (present addressees) disbelieve, We have entrusted it to a people who will not. Follow their guidance. No wage. A reminder to the worlds.</w:t>
      </w:r>
    </w:p>
    <w:p>
      <w:pPr>
        <w:spacing w:after="160"/>
      </w:pPr>
      <w:r>
        <w:rPr>
          <w:rFonts w:ascii="Calibri" w:hAnsi="Calibri" w:eastAsia="Calibri"/>
          <w:b w:val="0"/>
          <w:i w:val="0"/>
          <w:color w:val="222222"/>
          <w:sz w:val="22"/>
        </w:rPr>
        <w:t>Jesus sits in the righteous cluster with John and Zechariah and Elias — a messenger among the guided descendants, not singled out here. Ishmael is in the third cluster with Elisha, Jonah, Lot.</w:t>
      </w:r>
    </w:p>
    <w:p>
      <w:pPr>
        <w:spacing w:after="160"/>
      </w:pPr>
      <w:r>
        <w:rPr>
          <w:rFonts w:ascii="Calibri" w:hAnsi="Calibri" w:eastAsia="Calibri"/>
          <w:b w:val="0"/>
          <w:i w:val="0"/>
          <w:color w:val="222222"/>
          <w:sz w:val="22"/>
        </w:rPr>
        <w:t>QB-0146: PARTIAL AGREEMENT with the Genesis–Kings prophet names. ORDER is not the biblical chronology (Job and Jonah sit in mixed lists; Lot is ‘of his descendants’ in a loose sense). Book-ḥukm-prophethood triad is this verse’s gift-formula.</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QB-0144</w:t>
            </w:r>
          </w:p>
        </w:tc>
        <w:tc>
          <w:tcPr>
            <w:tcW w:type="dxa" w:w="3264"/>
          </w:tcPr>
          <w:p>
            <w:r/>
            <w:r>
              <w:rPr>
                <w:rFonts w:ascii="Calibri" w:hAnsi="Calibri" w:eastAsia="Calibri"/>
                <w:b w:val="0"/>
                <w:i w:val="0"/>
                <w:color w:val="222222"/>
                <w:sz w:val="18"/>
              </w:rPr>
              <w:t>Father named Azar vs Terah</w:t>
            </w:r>
          </w:p>
        </w:tc>
        <w:tc>
          <w:tcPr>
            <w:tcW w:type="dxa" w:w="3264"/>
          </w:tcPr>
          <w:p>
            <w:r/>
            <w:r>
              <w:rPr>
                <w:rFonts w:ascii="Calibri" w:hAnsi="Calibri" w:eastAsia="Calibri"/>
                <w:b w:val="0"/>
                <w:i w:val="0"/>
                <w:color w:val="222222"/>
                <w:sz w:val="18"/>
              </w:rPr>
              <w:t>SAME ROLE; DIFFERENT NAME</w:t>
            </w:r>
          </w:p>
        </w:tc>
      </w:tr>
      <w:tr>
        <w:tc>
          <w:tcPr>
            <w:tcW w:type="dxa" w:w="3264"/>
            <w:shd w:fill="F4F1EA" w:val="clear"/>
          </w:tcPr>
          <w:p>
            <w:r/>
            <w:r>
              <w:rPr>
                <w:rFonts w:ascii="Calibri" w:hAnsi="Calibri" w:eastAsia="Calibri"/>
                <w:b w:val="0"/>
                <w:i w:val="0"/>
                <w:color w:val="222222"/>
                <w:sz w:val="18"/>
              </w:rPr>
              <w:t>QB-0145</w:t>
            </w:r>
          </w:p>
        </w:tc>
        <w:tc>
          <w:tcPr>
            <w:tcW w:type="dxa" w:w="3264"/>
            <w:shd w:fill="F4F1EA" w:val="clear"/>
          </w:tcPr>
          <w:p>
            <w:r/>
            <w:r>
              <w:rPr>
                <w:rFonts w:ascii="Calibri" w:hAnsi="Calibri" w:eastAsia="Calibri"/>
                <w:b w:val="0"/>
                <w:i w:val="0"/>
                <w:color w:val="222222"/>
                <w:sz w:val="18"/>
              </w:rPr>
              <w:t>Star moon sun set — not Gen 1 day 4, not Gen 15 stars</w:t>
            </w:r>
          </w:p>
        </w:tc>
        <w:tc>
          <w:tcPr>
            <w:tcW w:type="dxa" w:w="3264"/>
            <w:shd w:fill="F4F1EA" w:val="clear"/>
          </w:tcPr>
          <w:p>
            <w:r/>
            <w:r>
              <w:rPr>
                <w:rFonts w:ascii="Calibri" w:hAnsi="Calibri" w:eastAsia="Calibri"/>
                <w:b w:val="0"/>
                <w:i w:val="0"/>
                <w:color w:val="222222"/>
                <w:sz w:val="18"/>
              </w:rPr>
              <w:t>POLEMIC against lamps as rabb; POSSIBLE RELATIONSHIP with anti-astral wisdom</w:t>
            </w:r>
          </w:p>
        </w:tc>
      </w:tr>
      <w:tr>
        <w:tc>
          <w:tcPr>
            <w:tcW w:type="dxa" w:w="3264"/>
          </w:tcPr>
          <w:p>
            <w:r/>
            <w:r>
              <w:rPr>
                <w:rFonts w:ascii="Calibri" w:hAnsi="Calibri" w:eastAsia="Calibri"/>
                <w:b w:val="0"/>
                <w:i w:val="0"/>
                <w:color w:val="222222"/>
                <w:sz w:val="18"/>
              </w:rPr>
              <w:t>QB-0146</w:t>
            </w:r>
          </w:p>
        </w:tc>
        <w:tc>
          <w:tcPr>
            <w:tcW w:type="dxa" w:w="3264"/>
          </w:tcPr>
          <w:p>
            <w:r/>
            <w:r>
              <w:rPr>
                <w:rFonts w:ascii="Calibri" w:hAnsi="Calibri" w:eastAsia="Calibri"/>
                <w:b w:val="0"/>
                <w:i w:val="0"/>
                <w:color w:val="222222"/>
                <w:sz w:val="18"/>
              </w:rPr>
              <w:t>Gift-list of named prophets</w:t>
            </w:r>
          </w:p>
        </w:tc>
        <w:tc>
          <w:tcPr>
            <w:tcW w:type="dxa" w:w="3264"/>
          </w:tcPr>
          <w:p>
            <w:r/>
            <w:r>
              <w:rPr>
                <w:rFonts w:ascii="Calibri" w:hAnsi="Calibri" w:eastAsia="Calibri"/>
                <w:b w:val="0"/>
                <w:i w:val="0"/>
                <w:color w:val="222222"/>
                <w:sz w:val="18"/>
              </w:rPr>
              <w:t>PARTIAL AGREEMENT of names; order is this text's</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QDISC-0264</w:t>
            </w:r>
          </w:p>
        </w:tc>
        <w:tc>
          <w:tcPr>
            <w:tcW w:type="dxa" w:w="4896"/>
          </w:tcPr>
          <w:p>
            <w:r/>
            <w:r>
              <w:rPr>
                <w:rFonts w:ascii="Calibri" w:hAnsi="Calibri" w:eastAsia="Calibri"/>
                <w:b w:val="0"/>
                <w:i w:val="0"/>
                <w:color w:val="222222"/>
                <w:sz w:val="18"/>
              </w:rPr>
              <w:t>Abraham to Azar: idols are error</w:t>
            </w:r>
          </w:p>
        </w:tc>
      </w:tr>
      <w:tr>
        <w:tc>
          <w:tcPr>
            <w:tcW w:type="dxa" w:w="4896"/>
            <w:shd w:fill="F4F1EA" w:val="clear"/>
          </w:tcPr>
          <w:p>
            <w:r/>
            <w:r>
              <w:rPr>
                <w:rFonts w:ascii="Calibri" w:hAnsi="Calibri" w:eastAsia="Calibri"/>
                <w:b w:val="0"/>
                <w:i w:val="0"/>
                <w:color w:val="222222"/>
                <w:sz w:val="18"/>
              </w:rPr>
              <w:t>QDISC-0265</w:t>
            </w:r>
          </w:p>
        </w:tc>
        <w:tc>
          <w:tcPr>
            <w:tcW w:type="dxa" w:w="4896"/>
            <w:shd w:fill="F4F1EA" w:val="clear"/>
          </w:tcPr>
          <w:p>
            <w:r/>
            <w:r>
              <w:rPr>
                <w:rFonts w:ascii="Calibri" w:hAnsi="Calibri" w:eastAsia="Calibri"/>
                <w:b w:val="0"/>
                <w:i w:val="0"/>
                <w:color w:val="222222"/>
                <w:sz w:val="18"/>
              </w:rPr>
              <w:t>Malakut shown; star moon sun claimed then refused because they set</w:t>
            </w:r>
          </w:p>
        </w:tc>
      </w:tr>
      <w:tr>
        <w:tc>
          <w:tcPr>
            <w:tcW w:type="dxa" w:w="4896"/>
          </w:tcPr>
          <w:p>
            <w:r/>
            <w:r>
              <w:rPr>
                <w:rFonts w:ascii="Calibri" w:hAnsi="Calibri" w:eastAsia="Calibri"/>
                <w:b w:val="0"/>
                <w:i w:val="0"/>
                <w:color w:val="222222"/>
                <w:sz w:val="18"/>
              </w:rPr>
              <w:t>QDISC-0266</w:t>
            </w:r>
          </w:p>
        </w:tc>
        <w:tc>
          <w:tcPr>
            <w:tcW w:type="dxa" w:w="4896"/>
          </w:tcPr>
          <w:p>
            <w:r/>
            <w:r>
              <w:rPr>
                <w:rFonts w:ascii="Calibri" w:hAnsi="Calibri" w:eastAsia="Calibri"/>
                <w:b w:val="0"/>
                <w:i w:val="0"/>
                <w:color w:val="222222"/>
                <w:sz w:val="18"/>
              </w:rPr>
              <w:t>Turned his face hanifan to the Originator; free of what they associate</w:t>
            </w:r>
          </w:p>
        </w:tc>
      </w:tr>
      <w:tr>
        <w:tc>
          <w:tcPr>
            <w:tcW w:type="dxa" w:w="4896"/>
            <w:shd w:fill="F4F1EA" w:val="clear"/>
          </w:tcPr>
          <w:p>
            <w:r/>
            <w:r>
              <w:rPr>
                <w:rFonts w:ascii="Calibri" w:hAnsi="Calibri" w:eastAsia="Calibri"/>
                <w:b w:val="0"/>
                <w:i w:val="0"/>
                <w:color w:val="222222"/>
                <w:sz w:val="18"/>
              </w:rPr>
              <w:t>QDISC-0267</w:t>
            </w:r>
          </w:p>
        </w:tc>
        <w:tc>
          <w:tcPr>
            <w:tcW w:type="dxa" w:w="4896"/>
            <w:shd w:fill="F4F1EA" w:val="clear"/>
          </w:tcPr>
          <w:p>
            <w:r/>
            <w:r>
              <w:rPr>
                <w:rFonts w:ascii="Calibri" w:hAnsi="Calibri" w:eastAsia="Calibri"/>
                <w:b w:val="0"/>
                <w:i w:val="0"/>
                <w:color w:val="222222"/>
                <w:sz w:val="18"/>
              </w:rPr>
              <w:t>Hujja given against his people; iman unmixed with zulm has security</w:t>
            </w:r>
          </w:p>
        </w:tc>
      </w:tr>
      <w:tr>
        <w:tc>
          <w:tcPr>
            <w:tcW w:type="dxa" w:w="4896"/>
          </w:tcPr>
          <w:p>
            <w:r/>
            <w:r>
              <w:rPr>
                <w:rFonts w:ascii="Calibri" w:hAnsi="Calibri" w:eastAsia="Calibri"/>
                <w:b w:val="0"/>
                <w:i w:val="0"/>
                <w:color w:val="222222"/>
                <w:sz w:val="18"/>
              </w:rPr>
              <w:t>QDISC-0268</w:t>
            </w:r>
          </w:p>
        </w:tc>
        <w:tc>
          <w:tcPr>
            <w:tcW w:type="dxa" w:w="4896"/>
          </w:tcPr>
          <w:p>
            <w:r/>
            <w:r>
              <w:rPr>
                <w:rFonts w:ascii="Calibri" w:hAnsi="Calibri" w:eastAsia="Calibri"/>
                <w:b w:val="0"/>
                <w:i w:val="0"/>
                <w:color w:val="222222"/>
                <w:sz w:val="18"/>
              </w:rPr>
              <w:t>Isaac Jacob Noah and the long gift-list; Book hukm prophethood; follow their guidance</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Abraham’s certainty is staged as a refusal of any rabb that sets. The father is named Āzar. A prophet-list follows, Jesus included without extra titles. Next: 6:91–110 (they did not measure God rightly; a Book Moses; this is a Book We sent down).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S006 CP05 vv074-090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S006 CP05 vv074-090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