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LIVING SNAPSHOT — TAḤRĪF AFTER 10:15</w:t>
      </w:r>
    </w:p>
    <w:p>
      <w:pPr>
        <w:spacing w:after="40"/>
      </w:pPr>
      <w:r>
        <w:rPr>
          <w:rFonts w:ascii="Calibri" w:hAnsi="Calibri" w:eastAsia="Calibri"/>
          <w:b/>
          <w:i w:val="0"/>
          <w:color w:val="1B3A4B"/>
          <w:sz w:val="22"/>
        </w:rPr>
        <w:t xml:space="preserve">Status: </w:t>
      </w:r>
      <w:r>
        <w:rPr>
          <w:rFonts w:ascii="Calibri" w:hAnsi="Calibri" w:eastAsia="Calibri"/>
          <w:b w:val="0"/>
          <w:i w:val="0"/>
          <w:color w:val="222222"/>
          <w:sz w:val="22"/>
        </w:rPr>
        <w:t>Open through S114. Rebuild if a later verse says they changed the book they possess.</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QDISC-0515–0518; QB-0287–0288</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14 September 2026</w:t>
      </w:r>
    </w:p>
    <w:p>
      <w:pPr>
        <w:pStyle w:val="Heading1"/>
      </w:pPr>
      <w:r>
        <w:rPr>
          <w:rFonts w:ascii="Calibri" w:hAnsi="Calibri"/>
          <w:color w:val="1B3A4B"/>
        </w:rPr>
        <w:t>The new control verse</w:t>
      </w:r>
    </w:p>
    <w:p>
      <w:pPr>
        <w:spacing w:after="160"/>
      </w:pPr>
      <w:r>
        <w:rPr>
          <w:rFonts w:ascii="Calibri" w:hAnsi="Calibri" w:eastAsia="Calibri"/>
          <w:b w:val="0"/>
          <w:i w:val="0"/>
          <w:color w:val="222222"/>
          <w:sz w:val="22"/>
        </w:rPr>
        <w:t>10:15 opponents: bring a Quran other than this or change it (baddilhu). Reply: not mine to change from myself; I follow what is revealed. The Quran has a plain verb for substituting the revelation in the reciter’s hands. Muhammad is made to refuse that act for this Recitation.</w:t>
      </w:r>
    </w:p>
    <w:p>
      <w:pPr>
        <w:pStyle w:val="Heading1"/>
      </w:pPr>
      <w:r>
        <w:rPr>
          <w:rFonts w:ascii="Calibri" w:hAnsi="Calibri"/>
          <w:color w:val="1B3A4B"/>
        </w:rPr>
        <w:t>What that is, inside the Quran’s own frame</w:t>
      </w:r>
    </w:p>
    <w:p>
      <w:pPr>
        <w:spacing w:after="160"/>
      </w:pPr>
      <w:r>
        <w:rPr>
          <w:rFonts w:ascii="Calibri" w:hAnsi="Calibri" w:eastAsia="Calibri"/>
          <w:b w:val="0"/>
          <w:i w:val="0"/>
          <w:color w:val="222222"/>
          <w:sz w:val="22"/>
        </w:rPr>
        <w:t>A category exists: received revelation vs human alteration of that revelation. He denies doing the second to the first. That does not prove the source is God. It does prove, as presentation, that he is not claiming to have rewritten the text he recites.</w:t>
      </w:r>
    </w:p>
    <w:p>
      <w:pPr>
        <w:pStyle w:val="Heading1"/>
      </w:pPr>
      <w:r>
        <w:rPr>
          <w:rFonts w:ascii="Calibri" w:hAnsi="Calibri"/>
          <w:color w:val="1B3A4B"/>
        </w:rPr>
        <w:t>Walked accusations against People of the Book — not the same sentence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What it says</w:t>
            </w:r>
          </w:p>
        </w:tc>
        <w:tc>
          <w:tcPr>
            <w:tcW w:type="dxa" w:w="3264"/>
            <w:shd w:fill="1B3A4B" w:val="clear"/>
          </w:tcPr>
          <w:p>
            <w:r/>
            <w:r>
              <w:rPr>
                <w:rFonts w:ascii="Calibri" w:hAnsi="Calibri" w:eastAsia="Calibri"/>
                <w:b/>
                <w:i w:val="0"/>
                <w:color w:val="FFFFFF"/>
                <w:sz w:val="18"/>
              </w:rPr>
              <w:t>What it does not say</w:t>
            </w:r>
          </w:p>
        </w:tc>
      </w:tr>
      <w:tr>
        <w:tc>
          <w:tcPr>
            <w:tcW w:type="dxa" w:w="3264"/>
          </w:tcPr>
          <w:p>
            <w:r/>
            <w:r>
              <w:rPr>
                <w:rFonts w:ascii="Calibri" w:hAnsi="Calibri" w:eastAsia="Calibri"/>
                <w:b w:val="0"/>
                <w:i w:val="0"/>
                <w:color w:val="222222"/>
                <w:sz w:val="18"/>
              </w:rPr>
              <w:t>2:75</w:t>
            </w:r>
          </w:p>
        </w:tc>
        <w:tc>
          <w:tcPr>
            <w:tcW w:type="dxa" w:w="3264"/>
          </w:tcPr>
          <w:p>
            <w:r/>
            <w:r>
              <w:rPr>
                <w:rFonts w:ascii="Calibri" w:hAnsi="Calibri" w:eastAsia="Calibri"/>
                <w:b w:val="0"/>
                <w:i w:val="0"/>
                <w:color w:val="222222"/>
                <w:sz w:val="18"/>
              </w:rPr>
              <w:t>A group heard then yuḥarrifūnahu after they understood</w:t>
            </w:r>
          </w:p>
        </w:tc>
        <w:tc>
          <w:tcPr>
            <w:tcW w:type="dxa" w:w="3264"/>
          </w:tcPr>
          <w:p>
            <w:r/>
            <w:r>
              <w:rPr>
                <w:rFonts w:ascii="Calibri" w:hAnsi="Calibri" w:eastAsia="Calibri"/>
                <w:b w:val="0"/>
                <w:i w:val="0"/>
                <w:color w:val="222222"/>
                <w:sz w:val="18"/>
              </w:rPr>
              <w:t>The whole Torah rewritten</w:t>
            </w:r>
          </w:p>
        </w:tc>
      </w:tr>
      <w:tr>
        <w:tc>
          <w:tcPr>
            <w:tcW w:type="dxa" w:w="3264"/>
            <w:shd w:fill="F4F1EA" w:val="clear"/>
          </w:tcPr>
          <w:p>
            <w:r/>
            <w:r>
              <w:rPr>
                <w:rFonts w:ascii="Calibri" w:hAnsi="Calibri" w:eastAsia="Calibri"/>
                <w:b w:val="0"/>
                <w:i w:val="0"/>
                <w:color w:val="222222"/>
                <w:sz w:val="18"/>
              </w:rPr>
              <w:t>2:79</w:t>
            </w:r>
          </w:p>
        </w:tc>
        <w:tc>
          <w:tcPr>
            <w:tcW w:type="dxa" w:w="3264"/>
            <w:shd w:fill="F4F1EA" w:val="clear"/>
          </w:tcPr>
          <w:p>
            <w:r/>
            <w:r>
              <w:rPr>
                <w:rFonts w:ascii="Calibri" w:hAnsi="Calibri" w:eastAsia="Calibri"/>
                <w:b w:val="0"/>
                <w:i w:val="0"/>
                <w:color w:val="222222"/>
                <w:sz w:val="18"/>
              </w:rPr>
              <w:t>Write a book with their hands and say it is from God</w:t>
            </w:r>
          </w:p>
        </w:tc>
        <w:tc>
          <w:tcPr>
            <w:tcW w:type="dxa" w:w="3264"/>
            <w:shd w:fill="F4F1EA" w:val="clear"/>
          </w:tcPr>
          <w:p>
            <w:r/>
            <w:r>
              <w:rPr>
                <w:rFonts w:ascii="Calibri" w:hAnsi="Calibri" w:eastAsia="Calibri"/>
                <w:b w:val="0"/>
                <w:i w:val="0"/>
                <w:color w:val="222222"/>
                <w:sz w:val="18"/>
              </w:rPr>
              <w:t>They rewrote the entire Torah</w:t>
            </w:r>
          </w:p>
        </w:tc>
      </w:tr>
      <w:tr>
        <w:tc>
          <w:tcPr>
            <w:tcW w:type="dxa" w:w="3264"/>
          </w:tcPr>
          <w:p>
            <w:r/>
            <w:r>
              <w:rPr>
                <w:rFonts w:ascii="Calibri" w:hAnsi="Calibri" w:eastAsia="Calibri"/>
                <w:b w:val="0"/>
                <w:i w:val="0"/>
                <w:color w:val="222222"/>
                <w:sz w:val="18"/>
              </w:rPr>
              <w:t>3:78</w:t>
            </w:r>
          </w:p>
        </w:tc>
        <w:tc>
          <w:tcPr>
            <w:tcW w:type="dxa" w:w="3264"/>
          </w:tcPr>
          <w:p>
            <w:r/>
            <w:r>
              <w:rPr>
                <w:rFonts w:ascii="Calibri" w:hAnsi="Calibri" w:eastAsia="Calibri"/>
                <w:b w:val="0"/>
                <w:i w:val="0"/>
                <w:color w:val="222222"/>
                <w:sz w:val="18"/>
              </w:rPr>
              <w:t>Twist tongues with the Book so hearers think it is from the Book</w:t>
            </w:r>
          </w:p>
        </w:tc>
        <w:tc>
          <w:tcPr>
            <w:tcW w:type="dxa" w:w="3264"/>
          </w:tcPr>
          <w:p>
            <w:r/>
            <w:r>
              <w:rPr>
                <w:rFonts w:ascii="Calibri" w:hAnsi="Calibri" w:eastAsia="Calibri"/>
                <w:b w:val="0"/>
                <w:i w:val="0"/>
                <w:color w:val="222222"/>
                <w:sz w:val="18"/>
              </w:rPr>
              <w:t>The written corpus is gone</w:t>
            </w:r>
          </w:p>
        </w:tc>
      </w:tr>
      <w:tr>
        <w:tc>
          <w:tcPr>
            <w:tcW w:type="dxa" w:w="3264"/>
            <w:shd w:fill="F4F1EA" w:val="clear"/>
          </w:tcPr>
          <w:p>
            <w:r/>
            <w:r>
              <w:rPr>
                <w:rFonts w:ascii="Calibri" w:hAnsi="Calibri" w:eastAsia="Calibri"/>
                <w:b w:val="0"/>
                <w:i w:val="0"/>
                <w:color w:val="222222"/>
                <w:sz w:val="18"/>
              </w:rPr>
              <w:t>4:46</w:t>
            </w:r>
          </w:p>
        </w:tc>
        <w:tc>
          <w:tcPr>
            <w:tcW w:type="dxa" w:w="3264"/>
            <w:shd w:fill="F4F1EA" w:val="clear"/>
          </w:tcPr>
          <w:p>
            <w:r/>
            <w:r>
              <w:rPr>
                <w:rFonts w:ascii="Calibri" w:hAnsi="Calibri" w:eastAsia="Calibri"/>
                <w:b w:val="0"/>
                <w:i w:val="0"/>
                <w:color w:val="222222"/>
                <w:sz w:val="18"/>
              </w:rPr>
              <w:t>Distort words from their places</w:t>
            </w:r>
          </w:p>
        </w:tc>
        <w:tc>
          <w:tcPr>
            <w:tcW w:type="dxa" w:w="3264"/>
            <w:shd w:fill="F4F1EA" w:val="clear"/>
          </w:tcPr>
          <w:p>
            <w:r/>
            <w:r>
              <w:rPr>
                <w:rFonts w:ascii="Calibri" w:hAnsi="Calibri" w:eastAsia="Calibri"/>
                <w:b w:val="0"/>
                <w:i w:val="0"/>
                <w:color w:val="222222"/>
                <w:sz w:val="18"/>
              </w:rPr>
              <w:t>No Torah left to distort from</w:t>
            </w:r>
          </w:p>
        </w:tc>
      </w:tr>
      <w:tr>
        <w:tc>
          <w:tcPr>
            <w:tcW w:type="dxa" w:w="3264"/>
          </w:tcPr>
          <w:p>
            <w:r/>
            <w:r>
              <w:rPr>
                <w:rFonts w:ascii="Calibri" w:hAnsi="Calibri" w:eastAsia="Calibri"/>
                <w:b w:val="0"/>
                <w:i w:val="0"/>
                <w:color w:val="222222"/>
                <w:sz w:val="18"/>
              </w:rPr>
              <w:t>5:13</w:t>
            </w:r>
          </w:p>
        </w:tc>
        <w:tc>
          <w:tcPr>
            <w:tcW w:type="dxa" w:w="3264"/>
          </w:tcPr>
          <w:p>
            <w:r/>
            <w:r>
              <w:rPr>
                <w:rFonts w:ascii="Calibri" w:hAnsi="Calibri" w:eastAsia="Calibri"/>
                <w:b w:val="0"/>
                <w:i w:val="0"/>
                <w:color w:val="222222"/>
                <w:sz w:val="18"/>
              </w:rPr>
              <w:t>Distort from places and forget a portion</w:t>
            </w:r>
          </w:p>
        </w:tc>
        <w:tc>
          <w:tcPr>
            <w:tcW w:type="dxa" w:w="3264"/>
          </w:tcPr>
          <w:p>
            <w:r/>
            <w:r>
              <w:rPr>
                <w:rFonts w:ascii="Calibri" w:hAnsi="Calibri" w:eastAsia="Calibri"/>
                <w:b w:val="0"/>
                <w:i w:val="0"/>
                <w:color w:val="222222"/>
                <w:sz w:val="18"/>
              </w:rPr>
              <w:t>The remainder is not the Book</w:t>
            </w:r>
          </w:p>
        </w:tc>
      </w:tr>
      <w:tr>
        <w:tc>
          <w:tcPr>
            <w:tcW w:type="dxa" w:w="3264"/>
            <w:shd w:fill="F4F1EA" w:val="clear"/>
          </w:tcPr>
          <w:p>
            <w:r/>
            <w:r>
              <w:rPr>
                <w:rFonts w:ascii="Calibri" w:hAnsi="Calibri" w:eastAsia="Calibri"/>
                <w:b w:val="0"/>
                <w:i w:val="0"/>
                <w:color w:val="222222"/>
                <w:sz w:val="18"/>
              </w:rPr>
              <w:t>5:15 / 6:91</w:t>
            </w:r>
          </w:p>
        </w:tc>
        <w:tc>
          <w:tcPr>
            <w:tcW w:type="dxa" w:w="3264"/>
            <w:shd w:fill="F4F1EA" w:val="clear"/>
          </w:tcPr>
          <w:p>
            <w:r/>
            <w:r>
              <w:rPr>
                <w:rFonts w:ascii="Calibri" w:hAnsi="Calibri" w:eastAsia="Calibri"/>
                <w:b w:val="0"/>
                <w:i w:val="0"/>
                <w:color w:val="222222"/>
                <w:sz w:val="18"/>
              </w:rPr>
              <w:t>Conceal much / hide the Book behind their backs</w:t>
            </w:r>
          </w:p>
        </w:tc>
        <w:tc>
          <w:tcPr>
            <w:tcW w:type="dxa" w:w="3264"/>
            <w:shd w:fill="F4F1EA" w:val="clear"/>
          </w:tcPr>
          <w:p>
            <w:r/>
            <w:r>
              <w:rPr>
                <w:rFonts w:ascii="Calibri" w:hAnsi="Calibri" w:eastAsia="Calibri"/>
                <w:b w:val="0"/>
                <w:i w:val="0"/>
                <w:color w:val="222222"/>
                <w:sz w:val="18"/>
              </w:rPr>
              <w:t>Nothing remains to conceal</w:t>
            </w:r>
          </w:p>
        </w:tc>
      </w:tr>
    </w:tbl>
    <w:p/>
    <w:p>
      <w:pPr>
        <w:pStyle w:val="Heading1"/>
      </w:pPr>
      <w:r>
        <w:rPr>
          <w:rFonts w:ascii="Calibri" w:hAnsi="Calibri"/>
          <w:color w:val="1B3A4B"/>
        </w:rPr>
        <w:t>Walked positive statements — Book still with them</w:t>
      </w:r>
    </w:p>
    <w:p>
      <w:pPr>
        <w:spacing w:after="160"/>
      </w:pPr>
      <w:r>
        <w:rPr>
          <w:rFonts w:ascii="Calibri" w:hAnsi="Calibri" w:eastAsia="Calibri"/>
          <w:b w:val="0"/>
          <w:i w:val="0"/>
          <w:color w:val="222222"/>
          <w:sz w:val="22"/>
        </w:rPr>
        <w:t>5:43 they have the Tawrāt in which is God’s judgment. 5:47 judge by what God sent down in the Injīl. 5:68 no standing until they uphold Tawrāt and Injīl. 7:157 they find him written with them in both. 9:111 a promise binding on God in Tawrāt, Injīl, and Quran.</w:t>
      </w:r>
    </w:p>
    <w:p>
      <w:pPr>
        <w:pStyle w:val="Heading1"/>
      </w:pPr>
      <w:r>
        <w:rPr>
          <w:rFonts w:ascii="Calibri" w:hAnsi="Calibri"/>
          <w:color w:val="1B3A4B"/>
        </w:rPr>
        <w:t>The modern slogan vs the walked file</w:t>
      </w:r>
    </w:p>
    <w:p>
      <w:pPr>
        <w:spacing w:after="160"/>
      </w:pPr>
      <w:r>
        <w:rPr>
          <w:rFonts w:ascii="Calibri" w:hAnsi="Calibri" w:eastAsia="Calibri"/>
          <w:b w:val="0"/>
          <w:i w:val="0"/>
          <w:color w:val="222222"/>
          <w:sz w:val="22"/>
        </w:rPr>
        <w:t>Slogan: ‘The Quran says the Bible was corrupted.’ Walked file: particular people — distortion after understanding, concealment, false attribution, tongue-twist, forgetting a portion, selective rejection, fabrication of a writing said to be from God — while the named books are still treated as extant sources of divine judgment and as witnesses. 10:15 shows the Quran can say ‘change this revelation’ in one clause when that is what it means. So far it has not said that sentence about the Torah and Gospel they possess.</w:t>
      </w:r>
    </w:p>
    <w:p>
      <w:pPr>
        <w:pStyle w:val="Heading1"/>
      </w:pPr>
      <w:r>
        <w:rPr>
          <w:rFonts w:ascii="Calibri" w:hAnsi="Calibri"/>
          <w:color w:val="1B3A4B"/>
        </w:rPr>
        <w:t>The test from here to 114</w:t>
      </w:r>
    </w:p>
    <w:p>
      <w:pPr>
        <w:spacing w:after="160"/>
      </w:pPr>
      <w:r>
        <w:rPr>
          <w:rFonts w:ascii="Calibri" w:hAnsi="Calibri" w:eastAsia="Calibri"/>
          <w:b w:val="0"/>
          <w:i w:val="0"/>
          <w:color w:val="222222"/>
          <w:sz w:val="22"/>
        </w:rPr>
        <w:t>If a later verse says the equivalent of: the Jews / Christians changed the Tawrāt / Injīl that they have — the snapshot is rebuilt. If S114 closes without that sentence, the later doctrine that the Biblical wording itself was comprehensively replaced becomes a historical question: when it rose, what early readers of taḥrīf meant, and why it outran these verses.</w:t>
      </w:r>
    </w:p>
    <w:p>
      <w:pPr>
        <w:spacing w:after="160"/>
      </w:pPr>
      <w:r>
        <w:rPr>
          <w:rFonts w:ascii="Calibri" w:hAnsi="Calibri" w:eastAsia="Calibri"/>
          <w:b w:val="0"/>
          <w:i w:val="0"/>
          <w:color w:val="222222"/>
          <w:sz w:val="22"/>
        </w:rPr>
        <w:t>This snapshot does not say taḥrīf can never mean textual corruption in some verse not yet walked. It says: do not import that meaning before the page writes it, especially after 10:15 has shown the plain verb for changing a revelation in hand.</w:t>
      </w:r>
    </w:p>
    <w:p>
      <w:pPr>
        <w:pStyle w:val="Heading1"/>
      </w:pPr>
      <w:r>
        <w:rPr>
          <w:rFonts w:ascii="Calibri" w:hAnsi="Calibri"/>
          <w:color w:val="1B3A4B"/>
        </w:rPr>
        <w:t>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QDISC-0515</w:t>
            </w:r>
          </w:p>
        </w:tc>
        <w:tc>
          <w:tcPr>
            <w:tcW w:type="dxa" w:w="4896"/>
          </w:tcPr>
          <w:p>
            <w:r/>
            <w:r>
              <w:rPr>
                <w:rFonts w:ascii="Calibri" w:hAnsi="Calibri" w:eastAsia="Calibri"/>
                <w:b w:val="0"/>
                <w:i w:val="0"/>
                <w:color w:val="222222"/>
                <w:sz w:val="18"/>
              </w:rPr>
              <w:t>10:15 baddilhu = explicit change of the revelation in his hands</w:t>
            </w:r>
          </w:p>
        </w:tc>
      </w:tr>
      <w:tr>
        <w:tc>
          <w:tcPr>
            <w:tcW w:type="dxa" w:w="4896"/>
            <w:shd w:fill="F4F1EA" w:val="clear"/>
          </w:tcPr>
          <w:p>
            <w:r/>
            <w:r>
              <w:rPr>
                <w:rFonts w:ascii="Calibri" w:hAnsi="Calibri" w:eastAsia="Calibri"/>
                <w:b w:val="0"/>
                <w:i w:val="0"/>
                <w:color w:val="222222"/>
                <w:sz w:val="18"/>
              </w:rPr>
              <w:t>QDISC-0516</w:t>
            </w:r>
          </w:p>
        </w:tc>
        <w:tc>
          <w:tcPr>
            <w:tcW w:type="dxa" w:w="4896"/>
            <w:shd w:fill="F4F1EA" w:val="clear"/>
          </w:tcPr>
          <w:p>
            <w:r/>
            <w:r>
              <w:rPr>
                <w:rFonts w:ascii="Calibri" w:hAnsi="Calibri" w:eastAsia="Calibri"/>
                <w:b w:val="0"/>
                <w:i w:val="0"/>
                <w:color w:val="222222"/>
                <w:sz w:val="18"/>
              </w:rPr>
              <w:t>He denies doing that to this Recitation</w:t>
            </w:r>
          </w:p>
        </w:tc>
      </w:tr>
      <w:tr>
        <w:tc>
          <w:tcPr>
            <w:tcW w:type="dxa" w:w="4896"/>
          </w:tcPr>
          <w:p>
            <w:r/>
            <w:r>
              <w:rPr>
                <w:rFonts w:ascii="Calibri" w:hAnsi="Calibri" w:eastAsia="Calibri"/>
                <w:b w:val="0"/>
                <w:i w:val="0"/>
                <w:color w:val="222222"/>
                <w:sz w:val="18"/>
              </w:rPr>
              <w:t>QDISC-0517</w:t>
            </w:r>
          </w:p>
        </w:tc>
        <w:tc>
          <w:tcPr>
            <w:tcW w:type="dxa" w:w="4896"/>
          </w:tcPr>
          <w:p>
            <w:r/>
            <w:r>
              <w:rPr>
                <w:rFonts w:ascii="Calibri" w:hAnsi="Calibri" w:eastAsia="Calibri"/>
                <w:b w:val="0"/>
                <w:i w:val="0"/>
                <w:color w:val="222222"/>
                <w:sz w:val="18"/>
              </w:rPr>
              <w:t>Walked PoB charges are distortion/conceal/fabricate/forget — not 'they changed the book they have'</w:t>
            </w:r>
          </w:p>
        </w:tc>
      </w:tr>
      <w:tr>
        <w:tc>
          <w:tcPr>
            <w:tcW w:type="dxa" w:w="4896"/>
            <w:shd w:fill="F4F1EA" w:val="clear"/>
          </w:tcPr>
          <w:p>
            <w:r/>
            <w:r>
              <w:rPr>
                <w:rFonts w:ascii="Calibri" w:hAnsi="Calibri" w:eastAsia="Calibri"/>
                <w:b w:val="0"/>
                <w:i w:val="0"/>
                <w:color w:val="222222"/>
                <w:sz w:val="18"/>
              </w:rPr>
              <w:t>QDISC-0518</w:t>
            </w:r>
          </w:p>
        </w:tc>
        <w:tc>
          <w:tcPr>
            <w:tcW w:type="dxa" w:w="4896"/>
            <w:shd w:fill="F4F1EA" w:val="clear"/>
          </w:tcPr>
          <w:p>
            <w:r/>
            <w:r>
              <w:rPr>
                <w:rFonts w:ascii="Calibri" w:hAnsi="Calibri" w:eastAsia="Calibri"/>
                <w:b w:val="0"/>
                <w:i w:val="0"/>
                <w:color w:val="222222"/>
                <w:sz w:val="18"/>
              </w:rPr>
              <w:t>Test to 114: watch for that missing sentence</w:t>
            </w:r>
          </w:p>
        </w:tc>
      </w:tr>
      <w:tr>
        <w:tc>
          <w:tcPr>
            <w:tcW w:type="dxa" w:w="4896"/>
          </w:tcPr>
          <w:p>
            <w:r/>
            <w:r>
              <w:rPr>
                <w:rFonts w:ascii="Calibri" w:hAnsi="Calibri" w:eastAsia="Calibri"/>
                <w:b w:val="0"/>
                <w:i w:val="0"/>
                <w:color w:val="222222"/>
                <w:sz w:val="18"/>
              </w:rPr>
              <w:t>QB-0287</w:t>
            </w:r>
          </w:p>
        </w:tc>
        <w:tc>
          <w:tcPr>
            <w:tcW w:type="dxa" w:w="4896"/>
          </w:tcPr>
          <w:p>
            <w:r/>
            <w:r>
              <w:rPr>
                <w:rFonts w:ascii="Calibri" w:hAnsi="Calibri" w:eastAsia="Calibri"/>
                <w:b w:val="0"/>
                <w:i w:val="0"/>
                <w:color w:val="222222"/>
                <w:sz w:val="18"/>
              </w:rPr>
              <w:t>Living snapshot: slogan outruns the walked file</w:t>
            </w:r>
          </w:p>
        </w:tc>
      </w:tr>
      <w:tr>
        <w:tc>
          <w:tcPr>
            <w:tcW w:type="dxa" w:w="4896"/>
            <w:shd w:fill="F4F1EA" w:val="clear"/>
          </w:tcPr>
          <w:p>
            <w:r/>
            <w:r>
              <w:rPr>
                <w:rFonts w:ascii="Calibri" w:hAnsi="Calibri" w:eastAsia="Calibri"/>
                <w:b w:val="0"/>
                <w:i w:val="0"/>
                <w:color w:val="222222"/>
                <w:sz w:val="18"/>
              </w:rPr>
              <w:t>QB-0288</w:t>
            </w:r>
          </w:p>
        </w:tc>
        <w:tc>
          <w:tcPr>
            <w:tcW w:type="dxa" w:w="4896"/>
            <w:shd w:fill="F4F1EA" w:val="clear"/>
          </w:tcPr>
          <w:p>
            <w:r/>
            <w:r>
              <w:rPr>
                <w:rFonts w:ascii="Calibri" w:hAnsi="Calibri" w:eastAsia="Calibri"/>
                <w:b w:val="0"/>
                <w:i w:val="0"/>
                <w:color w:val="222222"/>
                <w:sz w:val="18"/>
              </w:rPr>
              <w:t>Rebuild if later verse writes comprehensive alteration of the book they possess</w:t>
            </w:r>
          </w:p>
        </w:tc>
      </w:tr>
    </w:tbl>
    <w:p/>
    <w:p>
      <w:pPr>
        <w:spacing w:after="160"/>
      </w:pPr>
      <w:r>
        <w:rPr>
          <w:rFonts w:ascii="Calibri" w:hAnsi="Calibri" w:eastAsia="Calibri"/>
          <w:b w:val="0"/>
          <w:i w:val="0"/>
          <w:color w:val="222222"/>
          <w:sz w:val="22"/>
        </w:rPr>
        <w:t>Canonical next remains 10:21.</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LIVING SNAPSHOT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Tahrif living snapshot after 10:15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Tahrif living snapshot after 10:15</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