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ADDENDUM — 10:94 ON QCA-0001</w:t>
      </w:r>
    </w:p>
    <w:p>
      <w:pPr>
        <w:spacing w:after="40"/>
      </w:pPr>
      <w:r>
        <w:rPr>
          <w:rFonts w:ascii="Calibri" w:hAnsi="Calibri" w:eastAsia="Calibri"/>
          <w:b/>
          <w:i w:val="0"/>
          <w:color w:val="1B3A4B"/>
          <w:sz w:val="22"/>
        </w:rPr>
        <w:t xml:space="preserve">Pair with: </w:t>
      </w:r>
      <w:r>
        <w:rPr>
          <w:rFonts w:ascii="Calibri" w:hAnsi="Calibri" w:eastAsia="Calibri"/>
          <w:b w:val="0"/>
          <w:i w:val="0"/>
          <w:color w:val="222222"/>
          <w:sz w:val="22"/>
        </w:rPr>
        <w:t>QCA-0001_Tahrif_Confirmation_10_37.docx; Snapshot_Tahrif_After_10_15.docx</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QDISC-0558–0559; QB-0304</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The sentence</w:t>
      </w:r>
    </w:p>
    <w:p>
      <w:pPr>
        <w:spacing w:after="160"/>
      </w:pPr>
      <w:r>
        <w:rPr>
          <w:rFonts w:ascii="Calibri" w:hAnsi="Calibri" w:eastAsia="Calibri"/>
          <w:b w:val="0"/>
          <w:i w:val="0"/>
          <w:color w:val="222222"/>
          <w:sz w:val="22"/>
        </w:rPr>
        <w:t>10:94 If you are in doubt of what We sent down to you, ask those who read the Book before you. The truth has come from your Lord; do not be of the doubters.</w:t>
      </w:r>
    </w:p>
    <w:p>
      <w:pPr>
        <w:pStyle w:val="Heading1"/>
      </w:pPr>
      <w:r>
        <w:rPr>
          <w:rFonts w:ascii="Calibri" w:hAnsi="Calibri"/>
          <w:color w:val="1B3A4B"/>
        </w:rPr>
        <w:t>Rhetorical or not, the lever is the same</w:t>
      </w:r>
    </w:p>
    <w:p>
      <w:pPr>
        <w:spacing w:after="160"/>
      </w:pPr>
      <w:r>
        <w:rPr>
          <w:rFonts w:ascii="Calibri" w:hAnsi="Calibri" w:eastAsia="Calibri"/>
          <w:b w:val="0"/>
          <w:i w:val="0"/>
          <w:color w:val="222222"/>
          <w:sz w:val="22"/>
        </w:rPr>
        <w:t>The if-clause can be hypothetical, rhetorical, or a real address. That dispute does not move the lever. The argument only works because people who have been reading the earlier Book are presented as confirmatory witnesses worth consulting about what was sent down to him. You do not send a reciter to readers of a book you have already declared worthless scrap.</w:t>
      </w:r>
    </w:p>
    <w:p>
      <w:pPr>
        <w:pStyle w:val="Heading1"/>
      </w:pPr>
      <w:r>
        <w:rPr>
          <w:rFonts w:ascii="Calibri" w:hAnsi="Calibri"/>
          <w:color w:val="1B3A4B"/>
        </w:rPr>
        <w:t>Sequence in this surah</w:t>
      </w:r>
    </w:p>
    <w:p>
      <w:pPr>
        <w:spacing w:after="160"/>
      </w:pPr>
      <w:r>
        <w:rPr>
          <w:rFonts w:ascii="Calibri" w:hAnsi="Calibri" w:eastAsia="Calibri"/>
          <w:b w:val="0"/>
          <w:i w:val="0"/>
          <w:color w:val="222222"/>
          <w:sz w:val="22"/>
        </w:rPr>
        <w:t>10:15 he cannot change this Recitation. 10:16 lifetime before it. 10:37 it could not be fabricated apart from God, and it confirms what preceded. 10:94 if doubt, ask the readers of that prior Book. Four presentation-claims in one surah, all pushing the same way: this Recitation is not his rewrite; the prior Book is still a witness you can ask.</w:t>
      </w:r>
    </w:p>
    <w:p>
      <w:pPr>
        <w:pStyle w:val="Heading1"/>
      </w:pPr>
      <w:r>
        <w:rPr>
          <w:rFonts w:ascii="Calibri" w:hAnsi="Calibri"/>
          <w:color w:val="1B3A4B"/>
        </w:rPr>
        <w:t>What this does not prove</w:t>
      </w:r>
    </w:p>
    <w:p>
      <w:pPr>
        <w:spacing w:after="160"/>
      </w:pPr>
      <w:r>
        <w:rPr>
          <w:rFonts w:ascii="Calibri" w:hAnsi="Calibri" w:eastAsia="Calibri"/>
          <w:b w:val="0"/>
          <w:i w:val="0"/>
          <w:color w:val="222222"/>
          <w:sz w:val="22"/>
        </w:rPr>
        <w:t>It does not prove every Jewish or Christian manuscript in 610 was perfect. It does not prove 7:157’s named-person find or 9:111’s purchase-bargain is sitting in those books. It does prove, inside this text’s own frame, that total-corruption-therefore-unreliable is not how 10:94 treats those readers.</w:t>
      </w:r>
    </w:p>
    <w:p>
      <w:pPr>
        <w:pStyle w:val="Heading1"/>
      </w:pPr>
      <w:r>
        <w:rPr>
          <w:rFonts w:ascii="Calibri" w:hAnsi="Calibri"/>
          <w:color w:val="1B3A4B"/>
        </w:rPr>
        <w:t>The 114-test is unchanged</w:t>
      </w:r>
    </w:p>
    <w:p>
      <w:pPr>
        <w:spacing w:after="160"/>
      </w:pPr>
      <w:r>
        <w:rPr>
          <w:rFonts w:ascii="Calibri" w:hAnsi="Calibri" w:eastAsia="Calibri"/>
          <w:b w:val="0"/>
          <w:i w:val="0"/>
          <w:color w:val="222222"/>
          <w:sz w:val="22"/>
        </w:rPr>
        <w:t>Watch for a later verse that says they changed the Tawrāt / Injīl that they possess. Until that sentence is written, 10:94 stays on the confirmation / possess / ask-the-readers side of QCA-0001.</w:t>
      </w:r>
    </w:p>
    <w:p>
      <w:pPr>
        <w:pStyle w:val="Heading1"/>
      </w:pPr>
      <w:r>
        <w:rPr>
          <w:rFonts w:ascii="Calibri" w:hAnsi="Calibri"/>
          <w:color w:val="1B3A4B"/>
        </w:rPr>
        <w:t>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QDISC-0558</w:t>
            </w:r>
          </w:p>
        </w:tc>
        <w:tc>
          <w:tcPr>
            <w:tcW w:type="dxa" w:w="4896"/>
          </w:tcPr>
          <w:p>
            <w:r/>
            <w:r>
              <w:rPr>
                <w:rFonts w:ascii="Calibri" w:hAnsi="Calibri" w:eastAsia="Calibri"/>
                <w:b w:val="0"/>
                <w:i w:val="0"/>
                <w:color w:val="222222"/>
                <w:sz w:val="18"/>
              </w:rPr>
              <w:t>10:94 readers of the prior Book are confirmatory witnesses</w:t>
            </w:r>
          </w:p>
        </w:tc>
      </w:tr>
      <w:tr>
        <w:tc>
          <w:tcPr>
            <w:tcW w:type="dxa" w:w="4896"/>
            <w:shd w:fill="F4F1EA" w:val="clear"/>
          </w:tcPr>
          <w:p>
            <w:r/>
            <w:r>
              <w:rPr>
                <w:rFonts w:ascii="Calibri" w:hAnsi="Calibri" w:eastAsia="Calibri"/>
                <w:b w:val="0"/>
                <w:i w:val="0"/>
                <w:color w:val="222222"/>
                <w:sz w:val="18"/>
              </w:rPr>
              <w:t>QDISC-0559</w:t>
            </w:r>
          </w:p>
        </w:tc>
        <w:tc>
          <w:tcPr>
            <w:tcW w:type="dxa" w:w="4896"/>
            <w:shd w:fill="F4F1EA" w:val="clear"/>
          </w:tcPr>
          <w:p>
            <w:r/>
            <w:r>
              <w:rPr>
                <w:rFonts w:ascii="Calibri" w:hAnsi="Calibri" w:eastAsia="Calibri"/>
                <w:b w:val="0"/>
                <w:i w:val="0"/>
                <w:color w:val="222222"/>
                <w:sz w:val="18"/>
              </w:rPr>
              <w:t>Rhetorical-if does not cancel the lever</w:t>
            </w:r>
          </w:p>
        </w:tc>
      </w:tr>
      <w:tr>
        <w:tc>
          <w:tcPr>
            <w:tcW w:type="dxa" w:w="4896"/>
          </w:tcPr>
          <w:p>
            <w:r/>
            <w:r>
              <w:rPr>
                <w:rFonts w:ascii="Calibri" w:hAnsi="Calibri" w:eastAsia="Calibri"/>
                <w:b w:val="0"/>
                <w:i w:val="0"/>
                <w:color w:val="222222"/>
                <w:sz w:val="18"/>
              </w:rPr>
              <w:t>QB-0304</w:t>
            </w:r>
          </w:p>
        </w:tc>
        <w:tc>
          <w:tcPr>
            <w:tcW w:type="dxa" w:w="4896"/>
          </w:tcPr>
          <w:p>
            <w:r/>
            <w:r>
              <w:rPr>
                <w:rFonts w:ascii="Calibri" w:hAnsi="Calibri" w:eastAsia="Calibri"/>
                <w:b w:val="0"/>
                <w:i w:val="0"/>
                <w:color w:val="222222"/>
                <w:sz w:val="18"/>
              </w:rPr>
              <w:t>10:94 thickens QCA-0001 against total-corruption-unreliable</w:t>
            </w:r>
          </w:p>
        </w:tc>
      </w:tr>
    </w:tbl>
    <w:p/>
    <w:p>
      <w:pPr>
        <w:spacing w:after="160"/>
      </w:pPr>
      <w:r>
        <w:rPr>
          <w:rFonts w:ascii="Calibri" w:hAnsi="Calibri" w:eastAsia="Calibri"/>
          <w:b w:val="0"/>
          <w:i w:val="0"/>
          <w:color w:val="222222"/>
          <w:sz w:val="22"/>
        </w:rPr>
        <w:t>Canonical next remains 11:1.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QCA-0001 addendum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Addendum 10:94 ask the readers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10:94 ask the readers</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