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MAJOR-FIGURE DOSSIER: SOLOMON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Last updated: </w:t>
      </w:r>
      <w:r>
        <w:rPr>
          <w:rFonts w:ascii="Calibri" w:hAnsi="Calibri" w:eastAsia="Calibri"/>
          <w:b w:val="0"/>
          <w:i w:val="0"/>
          <w:color w:val="222222"/>
          <w:sz w:val="22"/>
        </w:rPr>
        <w:t>S002 CP06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From 2:102 only so far: named; has a mulk (kingdom); slander or recitation of shayatin is associated with that kingdom; he did not commit kufr; the shayatin did. Later surahs (27, 34, 38) will add jinn, hoopoe, Queen of Sheba, wind. Do not import them yet as if 2:102 contained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Harut Marut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Dossier — Solomon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— Solomon</dc:title>
  <dc:subject/>
  <dc:creator>Quran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