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LOCKED FRAME — HIGHLY AUTHORITATIVE, NOT INDEPENDENTLY SOVEREIGN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Pair with: </w:t>
      </w:r>
      <w:r>
        <w:rPr>
          <w:rFonts w:ascii="Calibri" w:hAnsi="Calibri" w:eastAsia="Calibri"/>
          <w:b w:val="0"/>
          <w:i w:val="0"/>
          <w:color w:val="222222"/>
          <w:sz w:val="22"/>
        </w:rPr>
        <w:t>Obey-after-death; Three questions; Addendum 9:43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Note: </w:t>
      </w:r>
      <w:r>
        <w:rPr>
          <w:rFonts w:ascii="Calibri" w:hAnsi="Calibri" w:eastAsia="Calibri"/>
          <w:b w:val="0"/>
          <w:i w:val="0"/>
          <w:color w:val="222222"/>
          <w:sz w:val="22"/>
        </w:rPr>
        <w:t>User cited 8:203 for ‘cannot manufacture revelation.’ No 8:203 exists. Mapped to 7:203 (I follow only what is revealed to me). Cousins: 10:15; 6:50. Flag if another verse was meant.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IDs: </w:t>
      </w:r>
      <w:r>
        <w:rPr>
          <w:rFonts w:ascii="Calibri" w:hAnsi="Calibri" w:eastAsia="Calibri"/>
          <w:b w:val="0"/>
          <w:i w:val="0"/>
          <w:color w:val="222222"/>
          <w:sz w:val="22"/>
        </w:rPr>
        <w:t>QDISC-0467–0469; QB-0269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Date: </w:t>
      </w:r>
      <w:r>
        <w:rPr>
          <w:rFonts w:ascii="Calibri" w:hAnsi="Calibri" w:eastAsia="Calibri"/>
          <w:b w:val="0"/>
          <w:i w:val="0"/>
          <w:color w:val="222222"/>
          <w:sz w:val="22"/>
        </w:rPr>
        <w:t>12 September 2026</w:t>
      </w:r>
    </w:p>
    <w:p>
      <w:pPr>
        <w:pStyle w:val="Heading1"/>
      </w:pPr>
      <w:r>
        <w:rPr>
          <w:rFonts w:ascii="Calibri" w:hAnsi="Calibri"/>
          <w:color w:val="1B3A4B"/>
        </w:rPr>
        <w:t>The frame, in one sentence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The walked Quran presents Muhammad as highly authoritative in the community — obedience, opposition, pleasing, judgment — and as not independently sovereign, omniscient, or beyond divine correction.</w:t>
      </w:r>
    </w:p>
    <w:p>
      <w:pPr>
        <w:pStyle w:val="Heading1"/>
      </w:pPr>
      <w:r>
        <w:rPr>
          <w:rFonts w:ascii="Calibri" w:hAnsi="Calibri"/>
          <w:color w:val="1B3A4B"/>
        </w:rPr>
        <w:t>Pole A — extraordinary authority (walked)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Locus</w:t>
            </w:r>
          </w:p>
        </w:tc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3:32, 132; 4:13; 5:92; 8:1, 20, 24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Obey God and the Messenger. Respond when he calls. Do not turn from him while you hear.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4:64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 messenger sent except to be obeyed by God’s leave.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4:65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They do not believe until they make him judge and feel no tightness.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4:80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Whoever obeys the Messenger has obeyed God.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8:1; 9:58–59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Anfal / what God and His Messenger gave — he administers goods.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9:61–63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Hurting him is a crime. God and His Messenger worthier to please. Opposing them: Hell.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9:73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Fight unbelievers and hypocrites; be harsh — command addressed to him.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Pole B — limits (walked)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Locus</w:t>
            </w:r>
          </w:p>
        </w:tc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9:43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He gave leave. The Recitation pardons and corrects. Discretion is real and fallible.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9:80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Seventy forgiveness-asks will not override God’s refusal for that class.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7:188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He does not possess benefit or harm for himself. He does not know the unseen. He is a warner.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7:203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If no sign comes: I follow only what is revealed to me. He does not produce revelation on demand.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6:50 (walked S006)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 do not say I have God’s treasures, or know the unseen, or that I am an angel. I follow what is revealed.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What this does to ‘obey the Messenger’ after him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 post-Muhammad system that treats reported acts as if they were as uncorrectable as the Recitation has to sit on Pole A and ignore Pole B. A system that treats him as a reciter-only has to sit on Pole B and ignore Pole A. The walked text holds both.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After 632 there is no further Recitation to do what 9:43 does. That is why later Islam built Sunnah. The frame does not, by itself, validate the collections. It names what any later answer must carry: high authority, plus correctability, plus no manufactured unseen, plus no manufactured sign.</w:t>
      </w:r>
    </w:p>
    <w:p>
      <w:pPr>
        <w:pStyle w:val="Heading1"/>
      </w:pPr>
      <w:r>
        <w:rPr>
          <w:rFonts w:ascii="Calibri" w:hAnsi="Calibri"/>
          <w:color w:val="1B3A4B"/>
        </w:rPr>
        <w:t>Still parked before rebuild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33:21 uswa ḥasana. 33:36 not for a believer to choose. 59:7 what he gives, take. 66:1 why do you forbid. 80:1 he frowned. 10:15 I cannot change it. 69:44–47 if he invented sayings. Rebuild; do not let usūl finish early.</w:t>
      </w:r>
    </w:p>
    <w:p>
      <w:pPr>
        <w:pStyle w:val="Heading1"/>
      </w:pPr>
      <w:r>
        <w:rPr>
          <w:rFonts w:ascii="Calibri" w:hAnsi="Calibri"/>
          <w:color w:val="1B3A4B"/>
        </w:rPr>
        <w:t>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QDISC-0467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Pole A: obey / judge / please / administer / do not hurt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QDISC-0468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Pole B: 9:43 correctable; 9:80 cannot override; 7:188 no unseen; 7:203 no manufactured sign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QDISC-0469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Post-mortem obey must carry both poles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QB-0269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LOCKED FRAME: highly authoritative, not independently sovereign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Canonical next remains 9:81.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 OOXML  ·  LOCKED FRAME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FROZEN v1.0  ·  Messenger authority poles 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Messenger authority poles locked</dc:title>
  <dc:subject/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