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LIVING SNAPSHOT — WHERE THE WORD INJĪL COMES FROM</w:t>
      </w:r>
    </w:p>
    <w:p>
      <w:pPr>
        <w:spacing w:after="40"/>
      </w:pPr>
      <w:r>
        <w:rPr>
          <w:rFonts w:ascii="Calibri" w:hAnsi="Calibri" w:eastAsia="Calibri"/>
          <w:b/>
          <w:i w:val="0"/>
          <w:color w:val="1B3A4B"/>
          <w:sz w:val="22"/>
        </w:rPr>
        <w:t xml:space="preserve">Pair with: </w:t>
      </w:r>
      <w:r>
        <w:rPr>
          <w:rFonts w:ascii="Calibri" w:hAnsi="Calibri" w:eastAsia="Calibri"/>
          <w:b w:val="0"/>
          <w:i w:val="0"/>
          <w:color w:val="222222"/>
          <w:sz w:val="22"/>
        </w:rPr>
        <w:t>Investigation_Tawrat_Injil_7_157.docx; Investigation_Diatessaron.docx</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QDISC-0379–0382; QB-0220–0222</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The form on the page</w:t>
      </w:r>
    </w:p>
    <w:p>
      <w:pPr>
        <w:spacing w:after="160"/>
      </w:pPr>
      <w:r>
        <w:rPr>
          <w:rFonts w:ascii="Calibri" w:hAnsi="Calibri" w:eastAsia="Calibri"/>
          <w:b w:val="0"/>
          <w:i w:val="0"/>
          <w:color w:val="222222"/>
          <w:sz w:val="22"/>
        </w:rPr>
        <w:t>Arabic إِنْجِيل ʾinjīl (plural ʾanājīl). Not derivable from an Arabic root as a native word for ‘good news.’ Classical exegetes already flagged it as foreign (Bayḍāwī). Folk Arabic etymologies (generosity, etc.) are after-the-fact.</w:t>
      </w:r>
    </w:p>
    <w:p>
      <w:pPr>
        <w:spacing w:after="160"/>
      </w:pPr>
      <w:r>
        <w:rPr>
          <w:rFonts w:ascii="Calibri" w:hAnsi="Calibri" w:eastAsia="Calibri"/>
          <w:b w:val="0"/>
          <w:i w:val="0"/>
          <w:color w:val="222222"/>
          <w:sz w:val="22"/>
        </w:rPr>
        <w:t>Twelve Quranic occurrences, all Medinan or late: 3:3, 48, 65; 5:46, 47, 66, 68, 110; 7:157; 9:111; 48:29; 57:27. The name arrives with the People-of-the-Book file, not in the earliest Meccan lexicon.</w:t>
      </w:r>
    </w:p>
    <w:p>
      <w:pPr>
        <w:pStyle w:val="Heading1"/>
      </w:pPr>
      <w:r>
        <w:rPr>
          <w:rFonts w:ascii="Calibri" w:hAnsi="Calibri"/>
          <w:color w:val="1B3A4B"/>
        </w:rPr>
        <w:t>2. The chain everyone agrees on at the far end</w:t>
      </w:r>
    </w:p>
    <w:p>
      <w:pPr>
        <w:spacing w:after="160"/>
      </w:pPr>
      <w:r>
        <w:rPr>
          <w:rFonts w:ascii="Calibri" w:hAnsi="Calibri" w:eastAsia="Calibri"/>
          <w:b w:val="0"/>
          <w:i w:val="0"/>
          <w:color w:val="222222"/>
          <w:sz w:val="22"/>
        </w:rPr>
        <w:t>Ultimate source: Greek εὐαγγέλιον euangélion — good announcement, good news. New Testament use: the preached message (Paul; Mark 1:1), later the written lives. That is the Christian technical term.</w:t>
      </w:r>
    </w:p>
    <w:p>
      <w:pPr>
        <w:spacing w:after="160"/>
      </w:pPr>
      <w:r>
        <w:rPr>
          <w:rFonts w:ascii="Calibri" w:hAnsi="Calibri" w:eastAsia="Calibri"/>
          <w:b w:val="0"/>
          <w:i w:val="0"/>
          <w:color w:val="222222"/>
          <w:sz w:val="22"/>
        </w:rPr>
        <w:t>From Greek the word entered the Christian languages of the late antique Near East. The question is only which of those was the immediate donor into Quranic Arabic.</w:t>
      </w:r>
    </w:p>
    <w:p>
      <w:pPr>
        <w:pStyle w:val="Heading1"/>
      </w:pPr>
      <w:r>
        <w:rPr>
          <w:rFonts w:ascii="Calibri" w:hAnsi="Calibri"/>
          <w:color w:val="1B3A4B"/>
        </w:rPr>
        <w:t>3. The two live candidates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B3A4B" w:val="clear"/>
          </w:tcPr>
          <w:p>
            <w:r/>
            <w:r>
              <w:rPr>
                <w:rFonts w:ascii="Calibri" w:hAnsi="Calibri" w:eastAsia="Calibri"/>
                <w:b/>
                <w:i w:val="0"/>
                <w:color w:val="FFFFFF"/>
                <w:sz w:val="18"/>
              </w:rPr>
              <w:t>Donor</w:t>
            </w:r>
          </w:p>
        </w:tc>
        <w:tc>
          <w:tcPr>
            <w:tcW w:type="dxa" w:w="2448"/>
            <w:shd w:fill="1B3A4B" w:val="clear"/>
          </w:tcPr>
          <w:p>
            <w:r/>
            <w:r>
              <w:rPr>
                <w:rFonts w:ascii="Calibri" w:hAnsi="Calibri" w:eastAsia="Calibri"/>
                <w:b/>
                <w:i w:val="0"/>
                <w:color w:val="FFFFFF"/>
                <w:sz w:val="18"/>
              </w:rPr>
              <w:t>Form</w:t>
            </w:r>
          </w:p>
        </w:tc>
        <w:tc>
          <w:tcPr>
            <w:tcW w:type="dxa" w:w="2448"/>
            <w:shd w:fill="1B3A4B" w:val="clear"/>
          </w:tcPr>
          <w:p>
            <w:r/>
            <w:r>
              <w:rPr>
                <w:rFonts w:ascii="Calibri" w:hAnsi="Calibri" w:eastAsia="Calibri"/>
                <w:b/>
                <w:i w:val="0"/>
                <w:color w:val="FFFFFF"/>
                <w:sz w:val="18"/>
              </w:rPr>
              <w:t>Why it is proposed</w:t>
            </w:r>
          </w:p>
        </w:tc>
        <w:tc>
          <w:tcPr>
            <w:tcW w:type="dxa" w:w="2448"/>
            <w:shd w:fill="1B3A4B" w:val="clear"/>
          </w:tcPr>
          <w:p>
            <w:r/>
            <w:r>
              <w:rPr>
                <w:rFonts w:ascii="Calibri" w:hAnsi="Calibri" w:eastAsia="Calibri"/>
                <w:b/>
                <w:i w:val="0"/>
                <w:color w:val="FFFFFF"/>
                <w:sz w:val="18"/>
              </w:rPr>
              <w:t>Why it is resisted</w:t>
            </w:r>
          </w:p>
        </w:tc>
      </w:tr>
      <w:tr>
        <w:tc>
          <w:tcPr>
            <w:tcW w:type="dxa" w:w="2448"/>
          </w:tcPr>
          <w:p>
            <w:r/>
            <w:r>
              <w:rPr>
                <w:rFonts w:ascii="Calibri" w:hAnsi="Calibri" w:eastAsia="Calibri"/>
                <w:b w:val="0"/>
                <w:i w:val="0"/>
                <w:color w:val="222222"/>
                <w:sz w:val="18"/>
              </w:rPr>
              <w:t>Classical Syriac</w:t>
            </w:r>
          </w:p>
        </w:tc>
        <w:tc>
          <w:tcPr>
            <w:tcW w:type="dxa" w:w="2448"/>
          </w:tcPr>
          <w:p>
            <w:r/>
            <w:r>
              <w:rPr>
                <w:rFonts w:ascii="Calibri" w:hAnsi="Calibri" w:eastAsia="Calibri"/>
                <w:b w:val="0"/>
                <w:i w:val="0"/>
                <w:color w:val="222222"/>
                <w:sz w:val="18"/>
              </w:rPr>
              <w:t>ܐܘܢܓܠܝܘܢ ʾewwangellīōn / ewangeliyōn</w:t>
            </w:r>
          </w:p>
        </w:tc>
        <w:tc>
          <w:tcPr>
            <w:tcW w:type="dxa" w:w="2448"/>
          </w:tcPr>
          <w:p>
            <w:r/>
            <w:r>
              <w:rPr>
                <w:rFonts w:ascii="Calibri" w:hAnsi="Calibri" w:eastAsia="Calibri"/>
                <w:b w:val="0"/>
                <w:i w:val="0"/>
                <w:color w:val="222222"/>
                <w:sz w:val="18"/>
              </w:rPr>
              <w:t>Geography: Syriac churches on the northern and eastern approaches to the Hijaz. The Diatessaron and Peshitta made this THE church word. Western Neo-Aramaic still has ʾenjīla, very close to Arabic ʾinjīl. Jeffery records the older consensus as Syriac.</w:t>
            </w:r>
          </w:p>
        </w:tc>
        <w:tc>
          <w:tcPr>
            <w:tcW w:type="dxa" w:w="2448"/>
          </w:tcPr>
          <w:p>
            <w:r/>
            <w:r>
              <w:rPr>
                <w:rFonts w:ascii="Calibri" w:hAnsi="Calibri" w:eastAsia="Calibri"/>
                <w:b w:val="0"/>
                <w:i w:val="0"/>
                <w:color w:val="222222"/>
                <w:sz w:val="18"/>
              </w:rPr>
              <w:t>The Greek eu- prefix and -ion ending have to be heavily worn down to reach injīl. Straight Syriac ewangeliyōn does not look like injīl on the page.</w:t>
            </w:r>
          </w:p>
        </w:tc>
      </w:tr>
      <w:tr>
        <w:tc>
          <w:tcPr>
            <w:tcW w:type="dxa" w:w="2448"/>
            <w:shd w:fill="F4F1EA" w:val="clear"/>
          </w:tcPr>
          <w:p>
            <w:r/>
            <w:r>
              <w:rPr>
                <w:rFonts w:ascii="Calibri" w:hAnsi="Calibri" w:eastAsia="Calibri"/>
                <w:b w:val="0"/>
                <w:i w:val="0"/>
                <w:color w:val="222222"/>
                <w:sz w:val="18"/>
              </w:rPr>
              <w:t>Ge'ez (Ethiopic)</w:t>
            </w:r>
          </w:p>
        </w:tc>
        <w:tc>
          <w:tcPr>
            <w:tcW w:type="dxa" w:w="2448"/>
            <w:shd w:fill="F4F1EA" w:val="clear"/>
          </w:tcPr>
          <w:p>
            <w:r/>
            <w:r>
              <w:rPr>
                <w:rFonts w:ascii="Calibri" w:hAnsi="Calibri" w:eastAsia="Calibri"/>
                <w:b w:val="0"/>
                <w:i w:val="0"/>
                <w:color w:val="222222"/>
                <w:sz w:val="18"/>
              </w:rPr>
              <w:t>ወንጌል wängel / wangēl</w:t>
            </w:r>
          </w:p>
        </w:tc>
        <w:tc>
          <w:tcPr>
            <w:tcW w:type="dxa" w:w="2448"/>
            <w:shd w:fill="F4F1EA" w:val="clear"/>
          </w:tcPr>
          <w:p>
            <w:r/>
            <w:r>
              <w:rPr>
                <w:rFonts w:ascii="Calibri" w:hAnsi="Calibri" w:eastAsia="Calibri"/>
                <w:b w:val="0"/>
                <w:i w:val="0"/>
                <w:color w:val="222222"/>
                <w:sz w:val="18"/>
              </w:rPr>
              <w:t>Jeffery (1938) and some later (Sinai 2023; Whittingham 2020) prefer it on phonology: loss of eu- and of -ion, g &gt; Arabic jīm, a long vowel in the second syllable. Abyssinian Christians were known in Mecca (the Najāshī file; the first hijra).</w:t>
            </w:r>
          </w:p>
        </w:tc>
        <w:tc>
          <w:tcPr>
            <w:tcW w:type="dxa" w:w="2448"/>
            <w:shd w:fill="F4F1EA" w:val="clear"/>
          </w:tcPr>
          <w:p>
            <w:r/>
            <w:r>
              <w:rPr>
                <w:rFonts w:ascii="Calibri" w:hAnsi="Calibri" w:eastAsia="Calibri"/>
                <w:b w:val="0"/>
                <w:i w:val="0"/>
                <w:color w:val="222222"/>
                <w:sz w:val="18"/>
              </w:rPr>
              <w:t>wangel still has initial w-, not i-n-. Geography is real but so is Syriac. Preference here is a phonological guess, not a dated loan event.</w:t>
            </w:r>
          </w:p>
        </w:tc>
      </w:tr>
    </w:tbl>
    <w:p/>
    <w:p>
      <w:pPr>
        <w:spacing w:after="160"/>
      </w:pPr>
      <w:r>
        <w:rPr>
          <w:rFonts w:ascii="Calibri" w:hAnsi="Calibri" w:eastAsia="Calibri"/>
          <w:b w:val="0"/>
          <w:i w:val="0"/>
          <w:color w:val="222222"/>
          <w:sz w:val="22"/>
        </w:rPr>
        <w:t>Unattested Old South Arabian is sometimes named as a third. There is no recovered OSA gospel-word to test.</w:t>
      </w:r>
    </w:p>
    <w:p>
      <w:pPr>
        <w:spacing w:after="160"/>
      </w:pPr>
      <w:r>
        <w:rPr>
          <w:rFonts w:ascii="Calibri" w:hAnsi="Calibri" w:eastAsia="Calibri"/>
          <w:b w:val="0"/>
          <w:i w:val="0"/>
          <w:color w:val="222222"/>
          <w:sz w:val="22"/>
        </w:rPr>
        <w:t>Call: immediate donor is not settled. Both proposed donors are Christian church languages using the Greek word for the Gospel. Neither is a pagan Arabic coinage. Neither is Hebrew.</w:t>
      </w:r>
    </w:p>
    <w:p>
      <w:pPr>
        <w:pStyle w:val="Heading1"/>
      </w:pPr>
      <w:r>
        <w:rPr>
          <w:rFonts w:ascii="Calibri" w:hAnsi="Calibri"/>
          <w:color w:val="1B3A4B"/>
        </w:rPr>
        <w:t>4. What the loan does not carry automatically</w:t>
      </w:r>
    </w:p>
    <w:p>
      <w:pPr>
        <w:spacing w:after="160"/>
      </w:pPr>
      <w:r>
        <w:rPr>
          <w:rFonts w:ascii="Calibri" w:hAnsi="Calibri" w:eastAsia="Calibri"/>
          <w:b w:val="0"/>
          <w:i w:val="0"/>
          <w:color w:val="222222"/>
          <w:sz w:val="22"/>
        </w:rPr>
        <w:t>A borrowed name does not freeze the borrowed meaning. English ‘gospel’ once meant good news and now, in ordinary speech, means a book. Syriac ewangeliyon could mean the preached news, the Mixed book, or the four Separated books. Ge'ez wangel is the ordinary Ethiopic word for the Gospel book(s).</w:t>
      </w:r>
    </w:p>
    <w:p>
      <w:pPr>
        <w:spacing w:after="160"/>
      </w:pPr>
      <w:r>
        <w:rPr>
          <w:rFonts w:ascii="Calibri" w:hAnsi="Calibri" w:eastAsia="Calibri"/>
          <w:b w:val="0"/>
          <w:i w:val="0"/>
          <w:color w:val="222222"/>
          <w:sz w:val="22"/>
        </w:rPr>
        <w:t>The Quran places ʾinjīl in a slot parallel to Tawrāt and to itself: a kitāb given to a messenger, containing guidance and light, still nameable among a people. That slot is the Quran’s own Book-theology. It is not required by the Greek or by the Syriac dictionary. The word was inherited. The ‘sent-down-to-Jesus-as-Torah-analogue’ frame is the conceptual move.</w:t>
      </w:r>
    </w:p>
    <w:p>
      <w:pPr>
        <w:pStyle w:val="Heading1"/>
      </w:pPr>
      <w:r>
        <w:rPr>
          <w:rFonts w:ascii="Calibri" w:hAnsi="Calibri"/>
          <w:color w:val="1B3A4B"/>
        </w:rPr>
        <w:t>5. How this tightens the last two notes</w:t>
      </w:r>
    </w:p>
    <w:p>
      <w:pPr>
        <w:spacing w:after="160"/>
      </w:pPr>
      <w:r>
        <w:rPr>
          <w:rFonts w:ascii="Calibri" w:hAnsi="Calibri" w:eastAsia="Calibri"/>
          <w:b w:val="0"/>
          <w:i w:val="0"/>
          <w:color w:val="222222"/>
          <w:sz w:val="22"/>
        </w:rPr>
        <w:t>If the donor is Syriac, the Diatessaron note gains a channel: the same Christian world that said ‘the Gospel’ in the singular for a mixed book is a plausible source of the loan. It still does not make Tatian’s harmony a gift to Jesus.</w:t>
      </w:r>
    </w:p>
    <w:p>
      <w:pPr>
        <w:spacing w:after="160"/>
      </w:pPr>
      <w:r>
        <w:rPr>
          <w:rFonts w:ascii="Calibri" w:hAnsi="Calibri" w:eastAsia="Calibri"/>
          <w:b w:val="0"/>
          <w:i w:val="0"/>
          <w:color w:val="222222"/>
          <w:sz w:val="22"/>
        </w:rPr>
        <w:t>If the donor is Ethiopic, the channel is the Aksumite church’s wangel — also ordinary Christian usage for the evangel, not a recovered Jesus-autograph.</w:t>
      </w:r>
    </w:p>
    <w:p>
      <w:pPr>
        <w:spacing w:after="160"/>
      </w:pPr>
      <w:r>
        <w:rPr>
          <w:rFonts w:ascii="Calibri" w:hAnsi="Calibri" w:eastAsia="Calibri"/>
          <w:b w:val="0"/>
          <w:i w:val="0"/>
          <w:color w:val="222222"/>
          <w:sz w:val="22"/>
        </w:rPr>
        <w:t>Either path: the Quran inherited the Late Antique Christian name for the Gospel and then spoke of it the way it speaks of Moses’ Book. That is the tight finding. It does not decide 7:157’s written-finding, and it does not produce a pre-four Jesus-codex.</w:t>
      </w:r>
    </w:p>
    <w:p>
      <w:pPr>
        <w:pStyle w:val="Heading1"/>
      </w:pPr>
      <w:r>
        <w:rPr>
          <w:rFonts w:ascii="Calibri" w:hAnsi="Calibri"/>
          <w:color w:val="1B3A4B"/>
        </w:rPr>
        <w:t>6. Calls</w:t>
      </w:r>
    </w:p>
    <w:p>
      <w:pPr>
        <w:spacing w:after="160"/>
      </w:pPr>
      <w:r>
        <w:rPr>
          <w:rFonts w:ascii="Calibri" w:hAnsi="Calibri" w:eastAsia="Calibri"/>
          <w:b w:val="0"/>
          <w:i w:val="0"/>
          <w:color w:val="222222"/>
          <w:sz w:val="22"/>
        </w:rPr>
        <w:t>QB-0220 AGREEMENT of etymon: ʾinjīl &lt; Greek euangelion via a Christian Semitic church language (Syriac and/or Ethiopic). Not a native Arabic ‘good news’ word.</w:t>
      </w:r>
    </w:p>
    <w:p>
      <w:pPr>
        <w:spacing w:after="160"/>
      </w:pPr>
      <w:r>
        <w:rPr>
          <w:rFonts w:ascii="Calibri" w:hAnsi="Calibri" w:eastAsia="Calibri"/>
          <w:b w:val="0"/>
          <w:i w:val="0"/>
          <w:color w:val="222222"/>
          <w:sz w:val="22"/>
        </w:rPr>
        <w:t>QB-0221 OPEN: Syriac vs Ethiopic as immediate donor. Phonology leans some scholars to Ge'ez; geography and living Aramaic ʾenjīla lean others to Syriac. Do not freeze one.</w:t>
      </w:r>
    </w:p>
    <w:p>
      <w:pPr>
        <w:spacing w:after="160"/>
      </w:pPr>
      <w:r>
        <w:rPr>
          <w:rFonts w:ascii="Calibri" w:hAnsi="Calibri" w:eastAsia="Calibri"/>
          <w:b w:val="0"/>
          <w:i w:val="0"/>
          <w:color w:val="222222"/>
          <w:sz w:val="22"/>
        </w:rPr>
        <w:t>QB-0222 CONTRAST of concept: inherited church-word vs Quranic slot as a sent-down kitāb given to Jesus, parallel to Tawrāt. The word came from Christians. The analogue-to-Torah framing is this text’s.</w:t>
      </w:r>
    </w:p>
    <w:p>
      <w:pPr>
        <w:pStyle w:val="Heading1"/>
      </w:pPr>
      <w:r>
        <w:rPr>
          <w:rFonts w:ascii="Calibri" w:hAnsi="Calibri"/>
          <w:color w:val="1B3A4B"/>
        </w:rPr>
        <w:t>7.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QDISC-0379</w:t>
            </w:r>
          </w:p>
        </w:tc>
        <w:tc>
          <w:tcPr>
            <w:tcW w:type="dxa" w:w="4896"/>
          </w:tcPr>
          <w:p>
            <w:r/>
            <w:r>
              <w:rPr>
                <w:rFonts w:ascii="Calibri" w:hAnsi="Calibri" w:eastAsia="Calibri"/>
                <w:b w:val="0"/>
                <w:i w:val="0"/>
                <w:color w:val="222222"/>
                <w:sz w:val="18"/>
              </w:rPr>
              <w:t>Injil is a foreign word; twelve late occurrences</w:t>
            </w:r>
          </w:p>
        </w:tc>
      </w:tr>
      <w:tr>
        <w:tc>
          <w:tcPr>
            <w:tcW w:type="dxa" w:w="4896"/>
            <w:shd w:fill="F4F1EA" w:val="clear"/>
          </w:tcPr>
          <w:p>
            <w:r/>
            <w:r>
              <w:rPr>
                <w:rFonts w:ascii="Calibri" w:hAnsi="Calibri" w:eastAsia="Calibri"/>
                <w:b w:val="0"/>
                <w:i w:val="0"/>
                <w:color w:val="222222"/>
                <w:sz w:val="18"/>
              </w:rPr>
              <w:t>QDISC-0380</w:t>
            </w:r>
          </w:p>
        </w:tc>
        <w:tc>
          <w:tcPr>
            <w:tcW w:type="dxa" w:w="4896"/>
            <w:shd w:fill="F4F1EA" w:val="clear"/>
          </w:tcPr>
          <w:p>
            <w:r/>
            <w:r>
              <w:rPr>
                <w:rFonts w:ascii="Calibri" w:hAnsi="Calibri" w:eastAsia="Calibri"/>
                <w:b w:val="0"/>
                <w:i w:val="0"/>
                <w:color w:val="222222"/>
                <w:sz w:val="18"/>
              </w:rPr>
              <w:t>Ultimate etymon Greek euangelion</w:t>
            </w:r>
          </w:p>
        </w:tc>
      </w:tr>
      <w:tr>
        <w:tc>
          <w:tcPr>
            <w:tcW w:type="dxa" w:w="4896"/>
          </w:tcPr>
          <w:p>
            <w:r/>
            <w:r>
              <w:rPr>
                <w:rFonts w:ascii="Calibri" w:hAnsi="Calibri" w:eastAsia="Calibri"/>
                <w:b w:val="0"/>
                <w:i w:val="0"/>
                <w:color w:val="222222"/>
                <w:sz w:val="18"/>
              </w:rPr>
              <w:t>QDISC-0381</w:t>
            </w:r>
          </w:p>
        </w:tc>
        <w:tc>
          <w:tcPr>
            <w:tcW w:type="dxa" w:w="4896"/>
          </w:tcPr>
          <w:p>
            <w:r/>
            <w:r>
              <w:rPr>
                <w:rFonts w:ascii="Calibri" w:hAnsi="Calibri" w:eastAsia="Calibri"/>
                <w:b w:val="0"/>
                <w:i w:val="0"/>
                <w:color w:val="222222"/>
                <w:sz w:val="18"/>
              </w:rPr>
              <w:t>Immediate donor: Syriac and/or Ethiopic — not settled</w:t>
            </w:r>
          </w:p>
        </w:tc>
      </w:tr>
      <w:tr>
        <w:tc>
          <w:tcPr>
            <w:tcW w:type="dxa" w:w="4896"/>
            <w:shd w:fill="F4F1EA" w:val="clear"/>
          </w:tcPr>
          <w:p>
            <w:r/>
            <w:r>
              <w:rPr>
                <w:rFonts w:ascii="Calibri" w:hAnsi="Calibri" w:eastAsia="Calibri"/>
                <w:b w:val="0"/>
                <w:i w:val="0"/>
                <w:color w:val="222222"/>
                <w:sz w:val="18"/>
              </w:rPr>
              <w:t>QDISC-0382</w:t>
            </w:r>
          </w:p>
        </w:tc>
        <w:tc>
          <w:tcPr>
            <w:tcW w:type="dxa" w:w="4896"/>
            <w:shd w:fill="F4F1EA" w:val="clear"/>
          </w:tcPr>
          <w:p>
            <w:r/>
            <w:r>
              <w:rPr>
                <w:rFonts w:ascii="Calibri" w:hAnsi="Calibri" w:eastAsia="Calibri"/>
                <w:b w:val="0"/>
                <w:i w:val="0"/>
                <w:color w:val="222222"/>
                <w:sz w:val="18"/>
              </w:rPr>
              <w:t>Inherited name; sent-down-book slot is Quranic conceptualization</w:t>
            </w:r>
          </w:p>
        </w:tc>
      </w:tr>
      <w:tr>
        <w:tc>
          <w:tcPr>
            <w:tcW w:type="dxa" w:w="4896"/>
          </w:tcPr>
          <w:p>
            <w:r/>
            <w:r>
              <w:rPr>
                <w:rFonts w:ascii="Calibri" w:hAnsi="Calibri" w:eastAsia="Calibri"/>
                <w:b w:val="0"/>
                <w:i w:val="0"/>
                <w:color w:val="222222"/>
                <w:sz w:val="18"/>
              </w:rPr>
              <w:t>QB-0220</w:t>
            </w:r>
          </w:p>
        </w:tc>
        <w:tc>
          <w:tcPr>
            <w:tcW w:type="dxa" w:w="4896"/>
          </w:tcPr>
          <w:p>
            <w:r/>
            <w:r>
              <w:rPr>
                <w:rFonts w:ascii="Calibri" w:hAnsi="Calibri" w:eastAsia="Calibri"/>
                <w:b w:val="0"/>
                <w:i w:val="0"/>
                <w:color w:val="222222"/>
                <w:sz w:val="18"/>
              </w:rPr>
              <w:t>Etymon AGREEMENT: church-word for Gospel</w:t>
            </w:r>
          </w:p>
        </w:tc>
      </w:tr>
      <w:tr>
        <w:tc>
          <w:tcPr>
            <w:tcW w:type="dxa" w:w="4896"/>
            <w:shd w:fill="F4F1EA" w:val="clear"/>
          </w:tcPr>
          <w:p>
            <w:r/>
            <w:r>
              <w:rPr>
                <w:rFonts w:ascii="Calibri" w:hAnsi="Calibri" w:eastAsia="Calibri"/>
                <w:b w:val="0"/>
                <w:i w:val="0"/>
                <w:color w:val="222222"/>
                <w:sz w:val="18"/>
              </w:rPr>
              <w:t>QB-0221</w:t>
            </w:r>
          </w:p>
        </w:tc>
        <w:tc>
          <w:tcPr>
            <w:tcW w:type="dxa" w:w="4896"/>
            <w:shd w:fill="F4F1EA" w:val="clear"/>
          </w:tcPr>
          <w:p>
            <w:r/>
            <w:r>
              <w:rPr>
                <w:rFonts w:ascii="Calibri" w:hAnsi="Calibri" w:eastAsia="Calibri"/>
                <w:b w:val="0"/>
                <w:i w:val="0"/>
                <w:color w:val="222222"/>
                <w:sz w:val="18"/>
              </w:rPr>
              <w:t>Syriac vs Ge'ez OPEN</w:t>
            </w:r>
          </w:p>
        </w:tc>
      </w:tr>
      <w:tr>
        <w:tc>
          <w:tcPr>
            <w:tcW w:type="dxa" w:w="4896"/>
          </w:tcPr>
          <w:p>
            <w:r/>
            <w:r>
              <w:rPr>
                <w:rFonts w:ascii="Calibri" w:hAnsi="Calibri" w:eastAsia="Calibri"/>
                <w:b w:val="0"/>
                <w:i w:val="0"/>
                <w:color w:val="222222"/>
                <w:sz w:val="18"/>
              </w:rPr>
              <w:t>QB-0222</w:t>
            </w:r>
          </w:p>
        </w:tc>
        <w:tc>
          <w:tcPr>
            <w:tcW w:type="dxa" w:w="4896"/>
          </w:tcPr>
          <w:p>
            <w:r/>
            <w:r>
              <w:rPr>
                <w:rFonts w:ascii="Calibri" w:hAnsi="Calibri" w:eastAsia="Calibri"/>
                <w:b w:val="0"/>
                <w:i w:val="0"/>
                <w:color w:val="222222"/>
                <w:sz w:val="18"/>
              </w:rPr>
              <w:t>Word inherited; Torah-analogue frame is this text's</w:t>
            </w:r>
          </w:p>
        </w:tc>
      </w:tr>
    </w:tbl>
    <w:p/>
    <w:p>
      <w:pPr>
        <w:spacing w:after="160"/>
      </w:pPr>
      <w:r>
        <w:rPr>
          <w:rFonts w:ascii="Calibri" w:hAnsi="Calibri" w:eastAsia="Calibri"/>
          <w:b w:val="0"/>
          <w:i w:val="0"/>
          <w:color w:val="222222"/>
          <w:sz w:val="22"/>
        </w:rPr>
        <w:t>The 7:157 cluster is now: finding-claim; Tawrat/Injil meaning; Diatessaron; etymology. Resume canonical walk at 8:1 (S007 already closed through 206).</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Etymology of Injil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Etymology of Injil</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