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Calibri" w:hAnsi="Calibri"/>
          <w:color w:val="1B3A4B"/>
        </w:rPr>
        <w:t>NOTE — BLAME, LEAVE, AND COUNSEL THAT CANNOT BENEFIT</w:t>
      </w:r>
    </w:p>
    <w:p>
      <w:pPr>
        <w:spacing w:after="40"/>
      </w:pPr>
      <w:r>
        <w:rPr>
          <w:rFonts w:ascii="Calibri" w:hAnsi="Calibri" w:eastAsia="Calibri"/>
          <w:b/>
          <w:i w:val="0"/>
          <w:color w:val="1B3A4B"/>
          <w:sz w:val="22"/>
        </w:rPr>
        <w:t xml:space="preserve">Trigger: </w:t>
      </w:r>
      <w:r>
        <w:rPr>
          <w:rFonts w:ascii="Calibri" w:hAnsi="Calibri" w:eastAsia="Calibri"/>
          <w:b w:val="0"/>
          <w:i w:val="0"/>
          <w:color w:val="222222"/>
          <w:sz w:val="22"/>
        </w:rPr>
        <w:t>11:34 + 10:99–100: how can humans be blamed if belief requires God's permission?</w:t>
      </w:r>
    </w:p>
    <w:p>
      <w:pPr>
        <w:spacing w:after="40"/>
      </w:pPr>
      <w:r>
        <w:rPr>
          <w:rFonts w:ascii="Calibri" w:hAnsi="Calibri" w:eastAsia="Calibri"/>
          <w:b/>
          <w:i w:val="0"/>
          <w:color w:val="1B3A4B"/>
          <w:sz w:val="22"/>
        </w:rPr>
        <w:t xml:space="preserve">IDs: </w:t>
      </w:r>
      <w:r>
        <w:rPr>
          <w:rFonts w:ascii="Calibri" w:hAnsi="Calibri" w:eastAsia="Calibri"/>
          <w:b w:val="0"/>
          <w:i w:val="0"/>
          <w:color w:val="222222"/>
          <w:sz w:val="22"/>
        </w:rPr>
        <w:t>QDISC-0578; QB-0315</w:t>
      </w:r>
    </w:p>
    <w:p>
      <w:pPr>
        <w:spacing w:after="40"/>
      </w:pPr>
      <w:r>
        <w:rPr>
          <w:rFonts w:ascii="Calibri" w:hAnsi="Calibri" w:eastAsia="Calibri"/>
          <w:b/>
          <w:i w:val="0"/>
          <w:color w:val="1B3A4B"/>
          <w:sz w:val="22"/>
        </w:rPr>
        <w:t xml:space="preserve">Date: </w:t>
      </w:r>
      <w:r>
        <w:rPr>
          <w:rFonts w:ascii="Calibri" w:hAnsi="Calibri" w:eastAsia="Calibri"/>
          <w:b w:val="0"/>
          <w:i w:val="0"/>
          <w:color w:val="222222"/>
          <w:sz w:val="22"/>
        </w:rPr>
        <w:t>19 September 2026</w:t>
      </w:r>
    </w:p>
    <w:p>
      <w:pPr>
        <w:pStyle w:val="Heading1"/>
      </w:pPr>
      <w:r>
        <w:rPr>
          <w:rFonts w:ascii="Calibri" w:hAnsi="Calibri"/>
          <w:color w:val="1B3A4B"/>
        </w:rPr>
        <w:t>The three sentences on the page</w:t>
      </w:r>
    </w:p>
    <w:p>
      <w:pPr>
        <w:spacing w:after="160"/>
      </w:pPr>
      <w:r>
        <w:rPr>
          <w:rFonts w:ascii="Calibri" w:hAnsi="Calibri" w:eastAsia="Calibri"/>
          <w:b w:val="0"/>
          <w:i w:val="0"/>
          <w:color w:val="222222"/>
          <w:sz w:val="22"/>
        </w:rPr>
        <w:t>A. Humans are blamed. They deny, mock, fold their breasts, invent ḥarām, call truth magic, prefer this life. Fire is recompense for what they used to earn (walked across S002–S011).</w:t>
      </w:r>
    </w:p>
    <w:p>
      <w:pPr>
        <w:spacing w:after="160"/>
      </w:pPr>
      <w:r>
        <w:rPr>
          <w:rFonts w:ascii="Calibri" w:hAnsi="Calibri" w:eastAsia="Calibri"/>
          <w:b w:val="0"/>
          <w:i w:val="0"/>
          <w:color w:val="222222"/>
          <w:sz w:val="22"/>
        </w:rPr>
        <w:t>B. Belief is by leave. 10:100: it is not for a soul to believe except by God's idhn. He places rijs on those who do not understand. 10:99: if He had willed, all on earth would have believed together.</w:t>
      </w:r>
    </w:p>
    <w:p>
      <w:pPr>
        <w:spacing w:after="160"/>
      </w:pPr>
      <w:r>
        <w:rPr>
          <w:rFonts w:ascii="Calibri" w:hAnsi="Calibri" w:eastAsia="Calibri"/>
          <w:b w:val="0"/>
          <w:i w:val="0"/>
          <w:color w:val="222222"/>
          <w:sz w:val="22"/>
        </w:rPr>
        <w:t>C. Counsel can fail by His will. 11:34 Noah: my counsel will not benefit you, though I wish to counsel you, if God wants to send you astray (in yurid Allāhu an yughwiyakum). He is your Lord; to Him you return.</w:t>
      </w:r>
    </w:p>
    <w:p>
      <w:pPr>
        <w:pStyle w:val="Heading1"/>
      </w:pPr>
      <w:r>
        <w:rPr>
          <w:rFonts w:ascii="Calibri" w:hAnsi="Calibri"/>
          <w:color w:val="1B3A4B"/>
        </w:rPr>
        <w:t>The question those three make</w:t>
      </w:r>
    </w:p>
    <w:p>
      <w:pPr>
        <w:spacing w:after="160"/>
      </w:pPr>
      <w:r>
        <w:rPr>
          <w:rFonts w:ascii="Calibri" w:hAnsi="Calibri" w:eastAsia="Calibri"/>
          <w:b w:val="0"/>
          <w:i w:val="0"/>
          <w:color w:val="222222"/>
          <w:sz w:val="22"/>
        </w:rPr>
        <w:t>If unbelief happens only inside His permission, and if even a prophet's advice cannot land when He intends ighwā', what is left to blame? That is not a modern gotcha. It is the same knot Jewish and Christian readers already know from Pharaoh's hardened heart, and from Paul in Romans 9. The Quran writes both poles and does not, in the walked text, issue a reconciling paragraph.</w:t>
      </w:r>
    </w:p>
    <w:p>
      <w:pPr>
        <w:pStyle w:val="Heading1"/>
      </w:pPr>
      <w:r>
        <w:rPr>
          <w:rFonts w:ascii="Calibri" w:hAnsi="Calibri"/>
          <w:color w:val="1B3A4B"/>
        </w:rPr>
        <w:t>What the verses do clearly — without a school</w:t>
      </w:r>
    </w:p>
    <w:p>
      <w:pPr>
        <w:spacing w:after="160"/>
      </w:pPr>
      <w:r>
        <w:rPr>
          <w:rFonts w:ascii="Calibri" w:hAnsi="Calibri" w:eastAsia="Calibri"/>
          <w:b w:val="0"/>
          <w:i w:val="0"/>
          <w:color w:val="222222"/>
          <w:sz w:val="22"/>
        </w:rPr>
        <w:t>1. They limit the messenger. Noah cannot compel (11:28). Muhammad cannot compel (10:99). Advice is not omnipotent. When it fails, the failure is not proof that the warner forgot a better argument.</w:t>
      </w:r>
    </w:p>
    <w:p>
      <w:pPr>
        <w:spacing w:after="160"/>
      </w:pPr>
      <w:r>
        <w:rPr>
          <w:rFonts w:ascii="Calibri" w:hAnsi="Calibri" w:eastAsia="Calibri"/>
          <w:b w:val="0"/>
          <w:i w:val="0"/>
          <w:color w:val="222222"/>
          <w:sz w:val="22"/>
        </w:rPr>
        <w:t>2. They refuse the excuse 'God could not have stopped this.' If He had willed, all would believe. Unbelief is not a surprise to Him or a leak in His power.</w:t>
      </w:r>
    </w:p>
    <w:p>
      <w:pPr>
        <w:spacing w:after="160"/>
      </w:pPr>
      <w:r>
        <w:rPr>
          <w:rFonts w:ascii="Calibri" w:hAnsi="Calibri" w:eastAsia="Calibri"/>
          <w:b w:val="0"/>
          <w:i w:val="0"/>
          <w:color w:val="222222"/>
          <w:sz w:val="22"/>
        </w:rPr>
        <w:t>3. They still treat the hearer as an agent who denied, mocked, and earned. 10:44: God does not wrong people; people wrong themselves. 11:101 later (parked until walked) will say We did not wrong them; they wronged themselves — check when we reach it.</w:t>
      </w:r>
    </w:p>
    <w:p>
      <w:pPr>
        <w:spacing w:after="160"/>
      </w:pPr>
      <w:r>
        <w:rPr>
          <w:rFonts w:ascii="Calibri" w:hAnsi="Calibri" w:eastAsia="Calibri"/>
          <w:b w:val="0"/>
          <w:i w:val="0"/>
          <w:color w:val="222222"/>
          <w:sz w:val="22"/>
        </w:rPr>
        <w:t>So the page holds: blamed as agents; unable to believe except by leave; unable to be talked into faith if He intends to send them astray. That is a tension, not a slip of wording.</w:t>
      </w:r>
    </w:p>
    <w:p>
      <w:pPr>
        <w:pStyle w:val="Heading1"/>
      </w:pPr>
      <w:r>
        <w:rPr>
          <w:rFonts w:ascii="Calibri" w:hAnsi="Calibri"/>
          <w:color w:val="1B3A4B"/>
        </w:rPr>
        <w:t>Schools that try to cut the knot — parked</w:t>
      </w:r>
    </w:p>
    <w:p>
      <w:pPr>
        <w:spacing w:after="160"/>
      </w:pPr>
      <w:r>
        <w:rPr>
          <w:rFonts w:ascii="Calibri" w:hAnsi="Calibri" w:eastAsia="Calibri"/>
          <w:b w:val="0"/>
          <w:i w:val="0"/>
          <w:color w:val="222222"/>
          <w:sz w:val="22"/>
        </w:rPr>
        <w:t>Ash'arī kasb: the act is theirs in attribution, His in creation. Mu'tazilī: He does not create the unbelief; they originate it; 'leave' is opportunity. Later fatalism: blame is theatrical. None of those sentences is 11:34. Do not let a school finish the file before 16:93, 18:17, 76:30, 81:28–29 are walked.</w:t>
      </w:r>
    </w:p>
    <w:p>
      <w:pPr>
        <w:pStyle w:val="Heading1"/>
      </w:pPr>
      <w:r>
        <w:rPr>
          <w:rFonts w:ascii="Calibri" w:hAnsi="Calibri"/>
          <w:color w:val="1B3A4B"/>
        </w:rPr>
        <w:t>Fair answer to the question as asked</w:t>
      </w:r>
    </w:p>
    <w:p>
      <w:pPr>
        <w:spacing w:after="160"/>
      </w:pPr>
      <w:r>
        <w:rPr>
          <w:rFonts w:ascii="Calibri" w:hAnsi="Calibri" w:eastAsia="Calibri"/>
          <w:b w:val="0"/>
          <w:i w:val="0"/>
          <w:color w:val="222222"/>
          <w:sz w:val="22"/>
        </w:rPr>
        <w:t>Inside the Quran's own frame: humans are blamed because the text describes their denial as theirs — they mock, they refuse, they prefer. The same text says that denial sits inside His will and that prophetic counsel can be made fruitless by that will. It does not explain how both are true. It asserts both. A reader who finds that morally or logically insufficient is naming a real feature of the page, not a failure to have read 11:34.</w:t>
      </w:r>
    </w:p>
    <w:p>
      <w:pPr>
        <w:pStyle w:val="Heading1"/>
      </w:pPr>
      <w:r>
        <w:rPr>
          <w:rFonts w:ascii="Calibri" w:hAnsi="Calibri"/>
          <w:color w:val="1B3A4B"/>
        </w:rPr>
        <w:t>IDs</w:t>
      </w:r>
    </w:p>
    <w:tbl>
      <w:tblPr>
        <w:tblStyle w:val="TableGrid"/>
        <w:tblW w:type="auto" w:w="0"/>
        <w:tblLook w:firstColumn="1" w:firstRow="1" w:lastColumn="0" w:lastRow="0" w:noHBand="0" w:noVBand="1" w:val="04A0"/>
      </w:tblPr>
      <w:tblGrid>
        <w:gridCol w:w="4896"/>
        <w:gridCol w:w="4896"/>
      </w:tblGrid>
      <w:tr>
        <w:tc>
          <w:tcPr>
            <w:tcW w:type="dxa" w:w="4896"/>
            <w:shd w:fill="1B3A4B" w:val="clear"/>
          </w:tcPr>
          <w:p>
            <w:r/>
            <w:r>
              <w:rPr>
                <w:rFonts w:ascii="Calibri" w:hAnsi="Calibri" w:eastAsia="Calibri"/>
                <w:b/>
                <w:i w:val="0"/>
                <w:color w:val="FFFFFF"/>
                <w:sz w:val="18"/>
              </w:rPr>
              <w:t>ID</w:t>
            </w:r>
          </w:p>
        </w:tc>
        <w:tc>
          <w:tcPr>
            <w:tcW w:type="dxa" w:w="4896"/>
            <w:shd w:fill="1B3A4B" w:val="clear"/>
          </w:tcPr>
          <w:p>
            <w:r/>
            <w:r>
              <w:rPr>
                <w:rFonts w:ascii="Calibri" w:hAnsi="Calibri" w:eastAsia="Calibri"/>
                <w:b/>
                <w:i w:val="0"/>
                <w:color w:val="FFFFFF"/>
                <w:sz w:val="18"/>
              </w:rPr>
              <w:t>Title</w:t>
            </w:r>
          </w:p>
        </w:tc>
      </w:tr>
      <w:tr>
        <w:tc>
          <w:tcPr>
            <w:tcW w:type="dxa" w:w="4896"/>
          </w:tcPr>
          <w:p>
            <w:r/>
            <w:r>
              <w:rPr>
                <w:rFonts w:ascii="Calibri" w:hAnsi="Calibri" w:eastAsia="Calibri"/>
                <w:b w:val="0"/>
                <w:i w:val="0"/>
                <w:color w:val="222222"/>
                <w:sz w:val="18"/>
              </w:rPr>
              <w:t>QDISC-0578</w:t>
            </w:r>
          </w:p>
        </w:tc>
        <w:tc>
          <w:tcPr>
            <w:tcW w:type="dxa" w:w="4896"/>
          </w:tcPr>
          <w:p>
            <w:r/>
            <w:r>
              <w:rPr>
                <w:rFonts w:ascii="Calibri" w:hAnsi="Calibri" w:eastAsia="Calibri"/>
                <w:b w:val="0"/>
                <w:i w:val="0"/>
                <w:color w:val="222222"/>
                <w:sz w:val="18"/>
              </w:rPr>
              <w:t>Blame, leave, and fruitless counsel held together — 11:34 joins 10:99–100</w:t>
            </w:r>
          </w:p>
        </w:tc>
      </w:tr>
      <w:tr>
        <w:tc>
          <w:tcPr>
            <w:tcW w:type="dxa" w:w="4896"/>
            <w:shd w:fill="F4F1EA" w:val="clear"/>
          </w:tcPr>
          <w:p>
            <w:r/>
            <w:r>
              <w:rPr>
                <w:rFonts w:ascii="Calibri" w:hAnsi="Calibri" w:eastAsia="Calibri"/>
                <w:b w:val="0"/>
                <w:i w:val="0"/>
                <w:color w:val="222222"/>
                <w:sz w:val="18"/>
              </w:rPr>
              <w:t>QB-0315</w:t>
            </w:r>
          </w:p>
        </w:tc>
        <w:tc>
          <w:tcPr>
            <w:tcW w:type="dxa" w:w="4896"/>
            <w:shd w:fill="F4F1EA" w:val="clear"/>
          </w:tcPr>
          <w:p>
            <w:r/>
            <w:r>
              <w:rPr>
                <w:rFonts w:ascii="Calibri" w:hAnsi="Calibri" w:eastAsia="Calibri"/>
                <w:b w:val="0"/>
                <w:i w:val="0"/>
                <w:color w:val="222222"/>
                <w:sz w:val="18"/>
              </w:rPr>
              <w:t>Knot held open; no school resolution yet</w:t>
            </w:r>
          </w:p>
        </w:tc>
      </w:tr>
    </w:tbl>
    <w:p/>
    <w:p>
      <w:pPr>
        <w:spacing w:after="160"/>
      </w:pPr>
      <w:r>
        <w:rPr>
          <w:rFonts w:ascii="Calibri" w:hAnsi="Calibri" w:eastAsia="Calibri"/>
          <w:b w:val="0"/>
          <w:i w:val="0"/>
          <w:color w:val="222222"/>
          <w:sz w:val="22"/>
        </w:rPr>
        <w:t>Canonical next remains 11:50.</w:t>
      </w:r>
    </w:p>
    <w:sectPr w:rsidR="00FC693F" w:rsidRPr="0006063C" w:rsidSect="00034616">
      <w:headerReference w:type="default" r:id="rId9"/>
      <w:footerReference w:type="default" r:id="rId10"/>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
      <w:rPr>
        <w:rFonts w:ascii="Calibri" w:hAnsi="Calibri" w:eastAsia="Calibri"/>
        <w:b w:val="0"/>
        <w:i w:val="0"/>
        <w:color w:val="8A6D3B"/>
        <w:sz w:val="18"/>
      </w:rPr>
      <w:t xml:space="preserve">LibreOffice OOXML  ·  note  ·  Page </w:t>
    </w:r>
    <w:r>
      <w:fldChar w:fldCharType="begin"/>
    </w:r>
    <w:r>
      <w:instrText xml:space="preserve"> PAGE </w:instrTex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
      <w:rPr>
        <w:rFonts w:ascii="Calibri" w:hAnsi="Calibri" w:eastAsia="Calibri"/>
        <w:b w:val="0"/>
        <w:i/>
        <w:color w:val="8A6D3B"/>
        <w:sz w:val="18"/>
      </w:rPr>
      <w:t>Quran Research Project  ·  FROZEN v1.0  ·  Note blame vs leave vs counsel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Note blame vs leave vs counsel</dc:title>
  <dc:subject/>
  <dc:creator>Quran Research Project</dc:creator>
  <cp:keywords/>
  <dc:description>generated by python-docx</dc:description>
  <cp:lastModifiedBy/>
  <cp:revision>1</cp:revision>
  <dcterms:created xsi:type="dcterms:W3CDTF">2013-12-23T23:15:00Z</dcterms:created>
  <dcterms:modified xsi:type="dcterms:W3CDTF">2013-12-23T23:15:00Z</dcterms:modified>
  <cp:category/>
</cp:coreProperties>
</file>