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NOTE — THIS RECITATION VS THEIR BOOK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Question: </w:t>
      </w:r>
      <w:r>
        <w:rPr>
          <w:rFonts w:ascii="Calibri" w:hAnsi="Calibri" w:eastAsia="Calibri"/>
          <w:b w:val="0"/>
          <w:i w:val="0"/>
          <w:color w:val="222222"/>
          <w:sz w:val="22"/>
        </w:rPr>
        <w:t>Was the Quran he was using unaltered? Did he previously claim it was already altered?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IDs: </w:t>
      </w:r>
      <w:r>
        <w:rPr>
          <w:rFonts w:ascii="Calibri" w:hAnsi="Calibri" w:eastAsia="Calibri"/>
          <w:b w:val="0"/>
          <w:i w:val="0"/>
          <w:color w:val="222222"/>
          <w:sz w:val="22"/>
        </w:rPr>
        <w:t>QDISC-0513–0514; QB-0286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Date: </w:t>
      </w:r>
      <w:r>
        <w:rPr>
          <w:rFonts w:ascii="Calibri" w:hAnsi="Calibri" w:eastAsia="Calibri"/>
          <w:b w:val="0"/>
          <w:i w:val="0"/>
          <w:color w:val="222222"/>
          <w:sz w:val="22"/>
        </w:rPr>
        <w:t>14 September 2026</w:t>
      </w:r>
    </w:p>
    <w:p>
      <w:pPr>
        <w:pStyle w:val="Heading1"/>
      </w:pPr>
      <w:r>
        <w:rPr>
          <w:rFonts w:ascii="Calibri" w:hAnsi="Calibri"/>
          <w:color w:val="1B3A4B"/>
        </w:rPr>
        <w:t>Do not let the pronoun float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If ‘it’ means the Recitation he is delivering: the walked Quran never says that Recitation is already corrupted. It says the opposite about his hands: he may not change it (10:15). If ‘it’ means the Tawrāt / Injīl: the walked Quran charges mishandling (distort, hide, write-with-hands) and still tells them to fetch, recite, judge by, and uphold those named books. Two objects. Two claims.</w:t>
      </w:r>
    </w:p>
    <w:p>
      <w:pPr>
        <w:pStyle w:val="Heading1"/>
      </w:pPr>
      <w:r>
        <w:rPr>
          <w:rFonts w:ascii="Calibri" w:hAnsi="Calibri"/>
          <w:color w:val="1B3A4B"/>
        </w:rPr>
        <w:t>Object 1 — this Recitation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10:15–16: he cannot change it of his own accord; he follows what is revealed; he lived among them before it. 7:203: he does not produce a sign on demand. 6:50: he follows what is revealed. Level 1 of this text: the thing coming out of his mouth is claimed as protected from his editorial will. That is a claim about him while he recites. It is not a laboratory certificate for every later copy.</w:t>
      </w:r>
    </w:p>
    <w:p>
      <w:pPr>
        <w:pStyle w:val="Heading1"/>
      </w:pPr>
      <w:r>
        <w:rPr>
          <w:rFonts w:ascii="Calibri" w:hAnsi="Calibri"/>
          <w:color w:val="1B3A4B"/>
        </w:rPr>
        <w:t>Object 2 — the Book with them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2:75, 2:79, 4:46, 5:13, 5:41, 6:91: a party heard then distorted; some write the book with their hands; they hide much; they forgot a portion. 3:93 / 5:43–47 / 5:66–68 / 7:157 / 9:111: bring it, judge by it, uphold it, find him written in it, a promise binding in it. The walked file is mishandling plus still-a-witness. It is not ‘those books are nothing and already gone.’</w:t>
      </w:r>
    </w:p>
    <w:p>
      <w:pPr>
        <w:pStyle w:val="Heading1"/>
      </w:pPr>
      <w:r>
        <w:rPr>
          <w:rFonts w:ascii="Calibri" w:hAnsi="Calibri"/>
          <w:color w:val="1B3A4B"/>
        </w:rPr>
        <w:t>So: did he claim ‘it’ was already altered?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He did not claim the Recitation he was reciting was already altered. He claimed other communities mishandle their Book — and he still pointed at that Book as a witness. Later Islam often hardened that into tahrif al-lafz (the wording itself replaced). That hardening is later. It is also in tension with the fetch-and-uphold verses already locked.</w:t>
      </w:r>
    </w:p>
    <w:p>
      <w:pPr>
        <w:pStyle w:val="Heading1"/>
      </w:pPr>
      <w:r>
        <w:rPr>
          <w:rFonts w:ascii="Calibri" w:hAnsi="Calibri"/>
          <w:color w:val="1B3A4B"/>
        </w:rPr>
        <w:t>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Title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QDISC-0513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Walked text never says this Recitation is already corrupted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QDISC-0514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Tahrif-charges and fetch-verses attach to their Book, not to this Recitation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QB-0286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Two objects: do not float the pronoun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Canonical next remains 10:21.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 OOXML  ·  note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FROZEN v1.0  ·  Two objects: this Recitation vs their 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 objects: this Recitation vs their Book</dc:title>
  <dc:subject/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