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2:215–227 (13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Spend / fight / wine / orphans / marriage / menses / oaths / īlāʾ. Full ṭalāq code is 2:228–237 and needs its own packet.</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They ask what they should spend: parents, relatives, orphans, the poor, the traveler — whatever good you do God knows. Fighting is prescribed though you dislike it; you may hate what is good for you and love what is bad; God knows and you do not. They ask about fighting in the sacred month: great sin, but blocking from God’s way, kufr, and the Sacred Mosque, and expelling its people is greater with God; fitnah is greater than killing. They will not cease fighting you until they turn you from your dīn if they can; whoever of you turns from his dīn and dies a kāfir — works are fruitless; those are companions of the Fire. Those who believed, emigrated, and struggled expect God’s mercy. They ask about wine and maysir: great sin and benefits for people; their sin is greater than their benefit. Spend the surplus (al-ʿafw). They ask about orphans: setting them right is best; if you mix with them they are your brothers; God knows the corrupter from the setter-right. Do not marry mushrik women until they believe; a believing slave-woman is better than a mushrik even if she pleases you. Do not marry mushrik men to your women until they believe; a believing slave is better than a mushrik even if he pleases you. Those call to the Fire; God calls to the Garden and forgiveness. They ask about menstruation: it is adhā; keep away from women in menstruation and do not approach until they are clean; when they have purified, come to them from where God has commanded. God loves those who repent often and those who purify themselves. Your women are a tilth; come to your tilth as you wish; send ahead for yourselves. Do not make God a target for your oaths against being pious, fearing, and putting things right among people. God will not take you to task for thoughtless oaths, but for what your hearts earned. Those who swear off their women wait four months; if they go back, God is forgiving; if they resolve on divorce, God hears and knows.</w:t>
      </w:r>
    </w:p>
    <w:p>
      <w:pPr>
        <w:pStyle w:val="Heading1"/>
      </w:pPr>
      <w:r>
        <w:rPr>
          <w:rFonts w:ascii="Calibri" w:hAnsi="Calibri"/>
          <w:color w:val="1B3A4B"/>
        </w:rPr>
        <w:t>2–3. Investigation</w:t>
      </w:r>
    </w:p>
    <w:p>
      <w:pPr>
        <w:pStyle w:val="Heading2"/>
      </w:pPr>
      <w:r>
        <w:rPr>
          <w:rFonts w:ascii="Calibri" w:hAnsi="Calibri"/>
          <w:color w:val="1B3A4B"/>
        </w:rPr>
        <w:t>2:215 spend</w:t>
      </w:r>
    </w:p>
    <w:p>
      <w:pPr>
        <w:spacing w:after="160"/>
      </w:pPr>
      <w:r>
        <w:rPr>
          <w:rFonts w:ascii="Calibri" w:hAnsi="Calibri" w:eastAsia="Calibri"/>
          <w:b w:val="0"/>
          <w:i w:val="0"/>
          <w:color w:val="222222"/>
          <w:sz w:val="22"/>
        </w:rPr>
        <w:t>Same recipient list as 2:177’s gift-clause, minus freeing necks and those who ask. What you spend of good is known.</w:t>
      </w:r>
    </w:p>
    <w:p>
      <w:pPr>
        <w:pStyle w:val="Heading2"/>
      </w:pPr>
      <w:r>
        <w:rPr>
          <w:rFonts w:ascii="Calibri" w:hAnsi="Calibri"/>
          <w:color w:val="1B3A4B"/>
        </w:rPr>
        <w:t>2:216–218 fighting again</w:t>
      </w:r>
    </w:p>
    <w:p>
      <w:pPr>
        <w:spacing w:after="160"/>
      </w:pPr>
      <w:r>
        <w:rPr>
          <w:rFonts w:ascii="Calibri" w:hAnsi="Calibri" w:eastAsia="Calibri"/>
          <w:b w:val="0"/>
          <w:i w:val="0"/>
          <w:color w:val="222222"/>
          <w:sz w:val="22"/>
        </w:rPr>
        <w:t>Fighting is kutiba though disliked. Sacred-month fighting is kabīr, but barring from God’s way, kufr in Him, the Sacred Mosque, and expelling its people is greater; fitnah is greater than killing. They will keep fighting you until they turn you from your dīn if they can. Apostasy-to-death: works void, Fire. Believers who emigrated and struggled hope for mercy.</w:t>
      </w:r>
    </w:p>
    <w:p>
      <w:pPr>
        <w:spacing w:after="160"/>
      </w:pPr>
      <w:r>
        <w:rPr>
          <w:rFonts w:ascii="Calibri" w:hAnsi="Calibri" w:eastAsia="Calibri"/>
          <w:b w:val="0"/>
          <w:i w:val="0"/>
          <w:color w:val="222222"/>
          <w:sz w:val="22"/>
        </w:rPr>
        <w:t>Thickens 2:190–193. Sacred month is not an absolute shield when the other side’s conduct is framed as greater fitnah. Apostasy clause here is about dying in that state, not a penal code.</w:t>
      </w:r>
    </w:p>
    <w:p>
      <w:pPr>
        <w:pStyle w:val="Heading2"/>
      </w:pPr>
      <w:r>
        <w:rPr>
          <w:rFonts w:ascii="Calibri" w:hAnsi="Calibri"/>
          <w:color w:val="1B3A4B"/>
        </w:rPr>
        <w:t>2:219 khamr and maysir</w:t>
      </w:r>
    </w:p>
    <w:p>
      <w:pPr>
        <w:spacing w:after="160"/>
      </w:pPr>
      <w:r>
        <w:rPr>
          <w:rFonts w:ascii="Calibri" w:hAnsi="Calibri" w:eastAsia="Calibri"/>
          <w:b w:val="0"/>
          <w:i w:val="0"/>
          <w:color w:val="222222"/>
          <w:sz w:val="22"/>
        </w:rPr>
        <w:t>Great ithm and benefits; ithm greater than nafʿ. Not yet an absolute ban (5:90 will be). Spend the surplus.</w:t>
      </w:r>
    </w:p>
    <w:p>
      <w:pPr>
        <w:spacing w:after="160"/>
      </w:pPr>
      <w:r>
        <w:rPr>
          <w:rFonts w:ascii="Calibri" w:hAnsi="Calibri" w:eastAsia="Calibri"/>
          <w:b w:val="0"/>
          <w:i w:val="0"/>
          <w:color w:val="222222"/>
          <w:sz w:val="22"/>
        </w:rPr>
        <w:t>QB-0051: PARTIAL AGREEMENT that wine can be a moral problem (Prov 20:1; 23:29–35; Eph 5:18) while wine is also used in biblical cult and blessing (Ps 104:15; John 2). Maysir is a local game of chance. This verse is graduated, not the later ḥadd regime.</w:t>
      </w:r>
    </w:p>
    <w:p>
      <w:pPr>
        <w:pStyle w:val="Heading2"/>
      </w:pPr>
      <w:r>
        <w:rPr>
          <w:rFonts w:ascii="Calibri" w:hAnsi="Calibri"/>
          <w:color w:val="1B3A4B"/>
        </w:rPr>
        <w:t>2:220 orphans</w:t>
      </w:r>
    </w:p>
    <w:p>
      <w:pPr>
        <w:spacing w:after="160"/>
      </w:pPr>
      <w:r>
        <w:rPr>
          <w:rFonts w:ascii="Calibri" w:hAnsi="Calibri" w:eastAsia="Calibri"/>
          <w:b w:val="0"/>
          <w:i w:val="0"/>
          <w:color w:val="222222"/>
          <w:sz w:val="22"/>
        </w:rPr>
        <w:t>Iṣlāḥ for them is best. Mixing affairs is allowed because they are brothers. God can tell corrupter from reformer. Continuity with 2:83, 2:177.</w:t>
      </w:r>
    </w:p>
    <w:p>
      <w:pPr>
        <w:pStyle w:val="Heading2"/>
      </w:pPr>
      <w:r>
        <w:rPr>
          <w:rFonts w:ascii="Calibri" w:hAnsi="Calibri"/>
          <w:color w:val="1B3A4B"/>
        </w:rPr>
        <w:t>2:221 marriage boundary</w:t>
      </w:r>
    </w:p>
    <w:p>
      <w:pPr>
        <w:spacing w:after="160"/>
      </w:pPr>
      <w:r>
        <w:rPr>
          <w:rFonts w:ascii="Calibri" w:hAnsi="Calibri" w:eastAsia="Calibri"/>
          <w:b w:val="0"/>
          <w:i w:val="0"/>
          <w:color w:val="222222"/>
          <w:sz w:val="22"/>
        </w:rPr>
        <w:t>Do not marry mushrikāt until they believe; believing slave-woman is better than a pleasing mushrik. Reciprocal: do not give believing women to mushrikīn until they believe. They invite to the Fire; God invites to Garden and forgiveness.</w:t>
      </w:r>
    </w:p>
    <w:p>
      <w:pPr>
        <w:spacing w:after="160"/>
      </w:pPr>
      <w:r>
        <w:rPr>
          <w:rFonts w:ascii="Calibri" w:hAnsi="Calibri" w:eastAsia="Calibri"/>
          <w:b w:val="0"/>
          <w:i w:val="0"/>
          <w:color w:val="222222"/>
          <w:sz w:val="22"/>
        </w:rPr>
        <w:t>5:5 will later permit chaste women of those given the Book. That later verse is not in this packet. Level 1 here is a mushrik-until-belief ban, both directions. People-of-the-Book exception is a later textual fact, not a silent clause in 2:221. QB-0052 vs Deut 7:3–4 / Ezra 9–10 (no covenant-marriage with the surrounding peoples): PARTIAL AGREEMENT on a faith-boundary for marriage. Different boundary-definition (mushrik vs the nations of Canaan / am ha-aretz).</w:t>
      </w:r>
    </w:p>
    <w:p>
      <w:pPr>
        <w:pStyle w:val="Heading2"/>
      </w:pPr>
      <w:r>
        <w:rPr>
          <w:rFonts w:ascii="Calibri" w:hAnsi="Calibri"/>
          <w:color w:val="1B3A4B"/>
        </w:rPr>
        <w:t>2:222–223 menstruation and tilth</w:t>
      </w:r>
    </w:p>
    <w:p>
      <w:pPr>
        <w:spacing w:after="160"/>
      </w:pPr>
      <w:r>
        <w:rPr>
          <w:rFonts w:ascii="Calibri" w:hAnsi="Calibri" w:eastAsia="Calibri"/>
          <w:b w:val="0"/>
          <w:i w:val="0"/>
          <w:color w:val="222222"/>
          <w:sz w:val="22"/>
        </w:rPr>
        <w:t>Menstruation is adhā (harm / hurt / impurity-as-harm). Keep away; do not approach until they are clean; when they have purified, come from where God commanded. God loves tawwābīn and mutaṭahhirīn. Women are ḥarth (tilth); come to your tilth as you wish; send ahead.</w:t>
      </w:r>
    </w:p>
    <w:p>
      <w:pPr>
        <w:spacing w:after="160"/>
      </w:pPr>
      <w:r>
        <w:rPr>
          <w:rFonts w:ascii="Calibri" w:hAnsi="Calibri" w:eastAsia="Calibri"/>
          <w:b w:val="0"/>
          <w:i w:val="0"/>
          <w:color w:val="222222"/>
          <w:sz w:val="22"/>
        </w:rPr>
        <w:t>QB-0053: PARTIAL AGREEMENT with Lev 15:19–24 (niddah separation). OMISSION of the seven-day count and object-impurity rules of Leviticus. “Come as you wish” to the tilth is a permission-clause about manner/timing after purity, not a license that cancels 2:222. Asbāb stories about a specific Jewish practice or a specific request are TAFSIR.</w:t>
      </w:r>
    </w:p>
    <w:p>
      <w:pPr>
        <w:pStyle w:val="Heading2"/>
      </w:pPr>
      <w:r>
        <w:rPr>
          <w:rFonts w:ascii="Calibri" w:hAnsi="Calibri"/>
          <w:color w:val="1B3A4B"/>
        </w:rPr>
        <w:t>2:224–227 oaths and īlāʾ</w:t>
      </w:r>
    </w:p>
    <w:p>
      <w:pPr>
        <w:spacing w:after="160"/>
      </w:pPr>
      <w:r>
        <w:rPr>
          <w:rFonts w:ascii="Calibri" w:hAnsi="Calibri" w:eastAsia="Calibri"/>
          <w:b w:val="0"/>
          <w:i w:val="0"/>
          <w:color w:val="222222"/>
          <w:sz w:val="22"/>
        </w:rPr>
        <w:t>Do not use God as an ʿurḍa for oaths so as to avoid birr, taqwā, and iṣlāḥ among people. Laghw (thoughtless) oaths are not taken to account; what the hearts earned is. Īlāʾ (oath of sexual abstention from wives): four months. Return: God is forgiving. Resolve on ṭalāq: God hears and knows. This is the on-ramp to the divorce code.</w:t>
      </w:r>
    </w:p>
    <w:p>
      <w:pPr>
        <w:spacing w:after="160"/>
      </w:pPr>
      <w:r>
        <w:rPr>
          <w:rFonts w:ascii="Calibri" w:hAnsi="Calibri" w:eastAsia="Calibri"/>
          <w:b w:val="0"/>
          <w:i w:val="0"/>
          <w:color w:val="222222"/>
          <w:sz w:val="22"/>
        </w:rPr>
        <w:t>QB-0054: PARTIAL AGREEMENT with oath-seriousness (Num 30; Deut 23:21–23; Matt 5:33–37). Matt 5 pushes toward not swearing; 2:224–225 regulates swearing and excuses laghw.</w:t>
      </w:r>
    </w:p>
    <w:p>
      <w:pPr>
        <w:pStyle w:val="Heading1"/>
      </w:pPr>
      <w:r>
        <w:rPr>
          <w:rFonts w:ascii="Calibri" w:hAnsi="Calibri"/>
          <w:color w:val="1B3A4B"/>
        </w:rPr>
        <w:t>4–9. Language, QRQ,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khamr / maysir</w:t>
            </w:r>
          </w:p>
        </w:tc>
        <w:tc>
          <w:tcPr>
            <w:tcW w:type="dxa" w:w="4896"/>
          </w:tcPr>
          <w:p>
            <w:r/>
            <w:r>
              <w:rPr>
                <w:rFonts w:ascii="Calibri" w:hAnsi="Calibri" w:eastAsia="Calibri"/>
                <w:b w:val="0"/>
                <w:i w:val="0"/>
                <w:color w:val="222222"/>
                <w:sz w:val="18"/>
              </w:rPr>
              <w:t>wine / game of chance</w:t>
            </w:r>
          </w:p>
        </w:tc>
      </w:tr>
      <w:tr>
        <w:tc>
          <w:tcPr>
            <w:tcW w:type="dxa" w:w="4896"/>
            <w:shd w:fill="F4F1EA" w:val="clear"/>
          </w:tcPr>
          <w:p>
            <w:r/>
            <w:r>
              <w:rPr>
                <w:rFonts w:ascii="Calibri" w:hAnsi="Calibri" w:eastAsia="Calibri"/>
                <w:b w:val="0"/>
                <w:i w:val="0"/>
                <w:color w:val="222222"/>
                <w:sz w:val="18"/>
              </w:rPr>
              <w:t>al-'afw</w:t>
            </w:r>
          </w:p>
        </w:tc>
        <w:tc>
          <w:tcPr>
            <w:tcW w:type="dxa" w:w="4896"/>
            <w:shd w:fill="F4F1EA" w:val="clear"/>
          </w:tcPr>
          <w:p>
            <w:r/>
            <w:r>
              <w:rPr>
                <w:rFonts w:ascii="Calibri" w:hAnsi="Calibri" w:eastAsia="Calibri"/>
                <w:b w:val="0"/>
                <w:i w:val="0"/>
                <w:color w:val="222222"/>
                <w:sz w:val="18"/>
              </w:rPr>
              <w:t>surplus / what can be spared</w:t>
            </w:r>
          </w:p>
        </w:tc>
      </w:tr>
      <w:tr>
        <w:tc>
          <w:tcPr>
            <w:tcW w:type="dxa" w:w="4896"/>
          </w:tcPr>
          <w:p>
            <w:r/>
            <w:r>
              <w:rPr>
                <w:rFonts w:ascii="Calibri" w:hAnsi="Calibri" w:eastAsia="Calibri"/>
                <w:b w:val="0"/>
                <w:i w:val="0"/>
                <w:color w:val="222222"/>
                <w:sz w:val="18"/>
              </w:rPr>
              <w:t>mushrik / mushrika</w:t>
            </w:r>
          </w:p>
        </w:tc>
        <w:tc>
          <w:tcPr>
            <w:tcW w:type="dxa" w:w="4896"/>
          </w:tcPr>
          <w:p>
            <w:r/>
            <w:r>
              <w:rPr>
                <w:rFonts w:ascii="Calibri" w:hAnsi="Calibri" w:eastAsia="Calibri"/>
                <w:b w:val="0"/>
                <w:i w:val="0"/>
                <w:color w:val="222222"/>
                <w:sz w:val="18"/>
              </w:rPr>
              <w:t>one who ascribes partners</w:t>
            </w:r>
          </w:p>
        </w:tc>
      </w:tr>
      <w:tr>
        <w:tc>
          <w:tcPr>
            <w:tcW w:type="dxa" w:w="4896"/>
            <w:shd w:fill="F4F1EA" w:val="clear"/>
          </w:tcPr>
          <w:p>
            <w:r/>
            <w:r>
              <w:rPr>
                <w:rFonts w:ascii="Calibri" w:hAnsi="Calibri" w:eastAsia="Calibri"/>
                <w:b w:val="0"/>
                <w:i w:val="0"/>
                <w:color w:val="222222"/>
                <w:sz w:val="18"/>
              </w:rPr>
              <w:t>adha</w:t>
            </w:r>
          </w:p>
        </w:tc>
        <w:tc>
          <w:tcPr>
            <w:tcW w:type="dxa" w:w="4896"/>
            <w:shd w:fill="F4F1EA" w:val="clear"/>
          </w:tcPr>
          <w:p>
            <w:r/>
            <w:r>
              <w:rPr>
                <w:rFonts w:ascii="Calibri" w:hAnsi="Calibri" w:eastAsia="Calibri"/>
                <w:b w:val="0"/>
                <w:i w:val="0"/>
                <w:color w:val="222222"/>
                <w:sz w:val="18"/>
              </w:rPr>
              <w:t>harm (menstruation)</w:t>
            </w:r>
          </w:p>
        </w:tc>
      </w:tr>
      <w:tr>
        <w:tc>
          <w:tcPr>
            <w:tcW w:type="dxa" w:w="4896"/>
          </w:tcPr>
          <w:p>
            <w:r/>
            <w:r>
              <w:rPr>
                <w:rFonts w:ascii="Calibri" w:hAnsi="Calibri" w:eastAsia="Calibri"/>
                <w:b w:val="0"/>
                <w:i w:val="0"/>
                <w:color w:val="222222"/>
                <w:sz w:val="18"/>
              </w:rPr>
              <w:t>harth</w:t>
            </w:r>
          </w:p>
        </w:tc>
        <w:tc>
          <w:tcPr>
            <w:tcW w:type="dxa" w:w="4896"/>
          </w:tcPr>
          <w:p>
            <w:r/>
            <w:r>
              <w:rPr>
                <w:rFonts w:ascii="Calibri" w:hAnsi="Calibri" w:eastAsia="Calibri"/>
                <w:b w:val="0"/>
                <w:i w:val="0"/>
                <w:color w:val="222222"/>
                <w:sz w:val="18"/>
              </w:rPr>
              <w:t>tilth / cultivated field</w:t>
            </w:r>
          </w:p>
        </w:tc>
      </w:tr>
      <w:tr>
        <w:tc>
          <w:tcPr>
            <w:tcW w:type="dxa" w:w="4896"/>
            <w:shd w:fill="F4F1EA" w:val="clear"/>
          </w:tcPr>
          <w:p>
            <w:r/>
            <w:r>
              <w:rPr>
                <w:rFonts w:ascii="Calibri" w:hAnsi="Calibri" w:eastAsia="Calibri"/>
                <w:b w:val="0"/>
                <w:i w:val="0"/>
                <w:color w:val="222222"/>
                <w:sz w:val="18"/>
              </w:rPr>
              <w:t>ilā'</w:t>
            </w:r>
          </w:p>
        </w:tc>
        <w:tc>
          <w:tcPr>
            <w:tcW w:type="dxa" w:w="4896"/>
            <w:shd w:fill="F4F1EA" w:val="clear"/>
          </w:tcPr>
          <w:p>
            <w:r/>
            <w:r>
              <w:rPr>
                <w:rFonts w:ascii="Calibri" w:hAnsi="Calibri" w:eastAsia="Calibri"/>
                <w:b w:val="0"/>
                <w:i w:val="0"/>
                <w:color w:val="222222"/>
                <w:sz w:val="18"/>
              </w:rPr>
              <w:t>oath to abstain from one's wife</w:t>
            </w:r>
          </w:p>
        </w:tc>
      </w:tr>
      <w:tr>
        <w:tc>
          <w:tcPr>
            <w:tcW w:type="dxa" w:w="4896"/>
          </w:tcPr>
          <w:p>
            <w:r/>
            <w:r>
              <w:rPr>
                <w:rFonts w:ascii="Calibri" w:hAnsi="Calibri" w:eastAsia="Calibri"/>
                <w:b w:val="0"/>
                <w:i w:val="0"/>
                <w:color w:val="222222"/>
                <w:sz w:val="18"/>
              </w:rPr>
              <w:t>laghw al-ayman</w:t>
            </w:r>
          </w:p>
        </w:tc>
        <w:tc>
          <w:tcPr>
            <w:tcW w:type="dxa" w:w="4896"/>
          </w:tcPr>
          <w:p>
            <w:r/>
            <w:r>
              <w:rPr>
                <w:rFonts w:ascii="Calibri" w:hAnsi="Calibri" w:eastAsia="Calibri"/>
                <w:b w:val="0"/>
                <w:i w:val="0"/>
                <w:color w:val="222222"/>
                <w:sz w:val="18"/>
              </w:rPr>
              <w:t>thoughtless oaths</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QB-0051</w:t>
            </w:r>
          </w:p>
        </w:tc>
        <w:tc>
          <w:tcPr>
            <w:tcW w:type="dxa" w:w="3264"/>
          </w:tcPr>
          <w:p>
            <w:r/>
            <w:r>
              <w:rPr>
                <w:rFonts w:ascii="Calibri" w:hAnsi="Calibri" w:eastAsia="Calibri"/>
                <w:b w:val="0"/>
                <w:i w:val="0"/>
                <w:color w:val="222222"/>
                <w:sz w:val="18"/>
              </w:rPr>
              <w:t>Wine and maysir</w:t>
            </w:r>
          </w:p>
        </w:tc>
        <w:tc>
          <w:tcPr>
            <w:tcW w:type="dxa" w:w="3264"/>
          </w:tcPr>
          <w:p>
            <w:r/>
            <w:r>
              <w:rPr>
                <w:rFonts w:ascii="Calibri" w:hAnsi="Calibri" w:eastAsia="Calibri"/>
                <w:b w:val="0"/>
                <w:i w:val="0"/>
                <w:color w:val="222222"/>
                <w:sz w:val="18"/>
              </w:rPr>
              <w:t>PARTIAL AGREEMENT that wine can be morally dangerous; this verse is not yet 5:90’s ban</w:t>
            </w:r>
          </w:p>
        </w:tc>
      </w:tr>
      <w:tr>
        <w:tc>
          <w:tcPr>
            <w:tcW w:type="dxa" w:w="3264"/>
            <w:shd w:fill="F4F1EA" w:val="clear"/>
          </w:tcPr>
          <w:p>
            <w:r/>
            <w:r>
              <w:rPr>
                <w:rFonts w:ascii="Calibri" w:hAnsi="Calibri" w:eastAsia="Calibri"/>
                <w:b w:val="0"/>
                <w:i w:val="0"/>
                <w:color w:val="222222"/>
                <w:sz w:val="18"/>
              </w:rPr>
              <w:t>QB-0052</w:t>
            </w:r>
          </w:p>
        </w:tc>
        <w:tc>
          <w:tcPr>
            <w:tcW w:type="dxa" w:w="3264"/>
            <w:shd w:fill="F4F1EA" w:val="clear"/>
          </w:tcPr>
          <w:p>
            <w:r/>
            <w:r>
              <w:rPr>
                <w:rFonts w:ascii="Calibri" w:hAnsi="Calibri" w:eastAsia="Calibri"/>
                <w:b w:val="0"/>
                <w:i w:val="0"/>
                <w:color w:val="222222"/>
                <w:sz w:val="18"/>
              </w:rPr>
              <w:t>No marriage to mushrikun until belief</w:t>
            </w:r>
          </w:p>
        </w:tc>
        <w:tc>
          <w:tcPr>
            <w:tcW w:type="dxa" w:w="3264"/>
            <w:shd w:fill="F4F1EA" w:val="clear"/>
          </w:tcPr>
          <w:p>
            <w:r/>
            <w:r>
              <w:rPr>
                <w:rFonts w:ascii="Calibri" w:hAnsi="Calibri" w:eastAsia="Calibri"/>
                <w:b w:val="0"/>
                <w:i w:val="0"/>
                <w:color w:val="222222"/>
                <w:sz w:val="18"/>
              </w:rPr>
              <w:t>PARTIAL AGREEMENT with Deut 7 / Ezra on faith-bounded marriage; 5:5 Book-women not in this verse</w:t>
            </w:r>
          </w:p>
        </w:tc>
      </w:tr>
      <w:tr>
        <w:tc>
          <w:tcPr>
            <w:tcW w:type="dxa" w:w="3264"/>
          </w:tcPr>
          <w:p>
            <w:r/>
            <w:r>
              <w:rPr>
                <w:rFonts w:ascii="Calibri" w:hAnsi="Calibri" w:eastAsia="Calibri"/>
                <w:b w:val="0"/>
                <w:i w:val="0"/>
                <w:color w:val="222222"/>
                <w:sz w:val="18"/>
              </w:rPr>
              <w:t>QB-0053</w:t>
            </w:r>
          </w:p>
        </w:tc>
        <w:tc>
          <w:tcPr>
            <w:tcW w:type="dxa" w:w="3264"/>
          </w:tcPr>
          <w:p>
            <w:r/>
            <w:r>
              <w:rPr>
                <w:rFonts w:ascii="Calibri" w:hAnsi="Calibri" w:eastAsia="Calibri"/>
                <w:b w:val="0"/>
                <w:i w:val="0"/>
                <w:color w:val="222222"/>
                <w:sz w:val="18"/>
              </w:rPr>
              <w:t>Menstruation separation</w:t>
            </w:r>
          </w:p>
        </w:tc>
        <w:tc>
          <w:tcPr>
            <w:tcW w:type="dxa" w:w="3264"/>
          </w:tcPr>
          <w:p>
            <w:r/>
            <w:r>
              <w:rPr>
                <w:rFonts w:ascii="Calibri" w:hAnsi="Calibri" w:eastAsia="Calibri"/>
                <w:b w:val="0"/>
                <w:i w:val="0"/>
                <w:color w:val="222222"/>
                <w:sz w:val="18"/>
              </w:rPr>
              <w:t>PARTIAL AGREEMENT with Lev 15 niddah; shorter and without object-impurity code</w:t>
            </w:r>
          </w:p>
        </w:tc>
      </w:tr>
      <w:tr>
        <w:tc>
          <w:tcPr>
            <w:tcW w:type="dxa" w:w="3264"/>
            <w:shd w:fill="F4F1EA" w:val="clear"/>
          </w:tcPr>
          <w:p>
            <w:r/>
            <w:r>
              <w:rPr>
                <w:rFonts w:ascii="Calibri" w:hAnsi="Calibri" w:eastAsia="Calibri"/>
                <w:b w:val="0"/>
                <w:i w:val="0"/>
                <w:color w:val="222222"/>
                <w:sz w:val="18"/>
              </w:rPr>
              <w:t>QB-0054</w:t>
            </w:r>
          </w:p>
        </w:tc>
        <w:tc>
          <w:tcPr>
            <w:tcW w:type="dxa" w:w="3264"/>
            <w:shd w:fill="F4F1EA" w:val="clear"/>
          </w:tcPr>
          <w:p>
            <w:r/>
            <w:r>
              <w:rPr>
                <w:rFonts w:ascii="Calibri" w:hAnsi="Calibri" w:eastAsia="Calibri"/>
                <w:b w:val="0"/>
                <w:i w:val="0"/>
                <w:color w:val="222222"/>
                <w:sz w:val="18"/>
              </w:rPr>
              <w:t>Oaths and ila'</w:t>
            </w:r>
          </w:p>
        </w:tc>
        <w:tc>
          <w:tcPr>
            <w:tcW w:type="dxa" w:w="3264"/>
            <w:shd w:fill="F4F1EA" w:val="clear"/>
          </w:tcPr>
          <w:p>
            <w:r/>
            <w:r>
              <w:rPr>
                <w:rFonts w:ascii="Calibri" w:hAnsi="Calibri" w:eastAsia="Calibri"/>
                <w:b w:val="0"/>
                <w:i w:val="0"/>
                <w:color w:val="222222"/>
                <w:sz w:val="18"/>
              </w:rPr>
              <w:t>PARTIAL AGREEMENT on binding speech; CONTRAST Matt 5: do-not-swear</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Spend list; fighting prescribed; sacred-month calculus; wine/maysir weighted; orphan mixing; marriage boundary; menses; oaths; four-month ila'.</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Surplus spending; islah for orphans; God loves tawwabin and mutatahhirin.</w:t>
            </w:r>
          </w:p>
        </w:tc>
      </w:tr>
      <w:tr>
        <w:tc>
          <w:tcPr>
            <w:tcW w:type="dxa" w:w="4896"/>
          </w:tcPr>
          <w:p>
            <w:r/>
            <w:r>
              <w:rPr>
                <w:rFonts w:ascii="Calibri" w:hAnsi="Calibri" w:eastAsia="Calibri"/>
                <w:b w:val="0"/>
                <w:i w:val="0"/>
                <w:color w:val="222222"/>
                <w:sz w:val="18"/>
              </w:rPr>
              <w:t>0008</w:t>
            </w:r>
          </w:p>
        </w:tc>
        <w:tc>
          <w:tcPr>
            <w:tcW w:type="dxa" w:w="4896"/>
          </w:tcPr>
          <w:p>
            <w:r/>
            <w:r>
              <w:rPr>
                <w:rFonts w:ascii="Calibri" w:hAnsi="Calibri" w:eastAsia="Calibri"/>
                <w:b w:val="0"/>
                <w:i w:val="0"/>
                <w:color w:val="222222"/>
                <w:sz w:val="18"/>
              </w:rPr>
              <w:t>Apostasy-to-death voids works; Fire companions.</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QDISC-0069</w:t>
            </w:r>
          </w:p>
        </w:tc>
        <w:tc>
          <w:tcPr>
            <w:tcW w:type="dxa" w:w="3264"/>
          </w:tcPr>
          <w:p>
            <w:r/>
            <w:r>
              <w:rPr>
                <w:rFonts w:ascii="Calibri" w:hAnsi="Calibri" w:eastAsia="Calibri"/>
                <w:b w:val="0"/>
                <w:i w:val="0"/>
                <w:color w:val="222222"/>
                <w:sz w:val="18"/>
              </w:rPr>
              <w:t>Spend on the near and weak; fighting prescribed though disliked</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QDISC-0070</w:t>
            </w:r>
          </w:p>
        </w:tc>
        <w:tc>
          <w:tcPr>
            <w:tcW w:type="dxa" w:w="3264"/>
            <w:shd w:fill="F4F1EA" w:val="clear"/>
          </w:tcPr>
          <w:p>
            <w:r/>
            <w:r>
              <w:rPr>
                <w:rFonts w:ascii="Calibri" w:hAnsi="Calibri" w:eastAsia="Calibri"/>
                <w:b w:val="0"/>
                <w:i w:val="0"/>
                <w:color w:val="222222"/>
                <w:sz w:val="18"/>
              </w:rPr>
              <w:t>Sacred-month fight is kabir; fitnah and expulsion greater; apostasy-to-death</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QDISC-0071</w:t>
            </w:r>
          </w:p>
        </w:tc>
        <w:tc>
          <w:tcPr>
            <w:tcW w:type="dxa" w:w="3264"/>
          </w:tcPr>
          <w:p>
            <w:r/>
            <w:r>
              <w:rPr>
                <w:rFonts w:ascii="Calibri" w:hAnsi="Calibri" w:eastAsia="Calibri"/>
                <w:b w:val="0"/>
                <w:i w:val="0"/>
                <w:color w:val="222222"/>
                <w:sz w:val="18"/>
              </w:rPr>
              <w:t>Khamr and maysir: sin greater than benefit; spend the surplus</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QDISC-0072</w:t>
            </w:r>
          </w:p>
        </w:tc>
        <w:tc>
          <w:tcPr>
            <w:tcW w:type="dxa" w:w="3264"/>
            <w:shd w:fill="F4F1EA" w:val="clear"/>
          </w:tcPr>
          <w:p>
            <w:r/>
            <w:r>
              <w:rPr>
                <w:rFonts w:ascii="Calibri" w:hAnsi="Calibri" w:eastAsia="Calibri"/>
                <w:b w:val="0"/>
                <w:i w:val="0"/>
                <w:color w:val="222222"/>
                <w:sz w:val="18"/>
              </w:rPr>
              <w:t>No marriage to mushriks until they believe; believing slave better</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QDISC-0073</w:t>
            </w:r>
          </w:p>
        </w:tc>
        <w:tc>
          <w:tcPr>
            <w:tcW w:type="dxa" w:w="3264"/>
          </w:tcPr>
          <w:p>
            <w:r/>
            <w:r>
              <w:rPr>
                <w:rFonts w:ascii="Calibri" w:hAnsi="Calibri" w:eastAsia="Calibri"/>
                <w:b w:val="0"/>
                <w:i w:val="0"/>
                <w:color w:val="222222"/>
                <w:sz w:val="18"/>
              </w:rPr>
              <w:t>Menstruation is adha; tilth permission after purity</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QDISC-0074</w:t>
            </w:r>
          </w:p>
        </w:tc>
        <w:tc>
          <w:tcPr>
            <w:tcW w:type="dxa" w:w="3264"/>
            <w:shd w:fill="F4F1EA" w:val="clear"/>
          </w:tcPr>
          <w:p>
            <w:r/>
            <w:r>
              <w:rPr>
                <w:rFonts w:ascii="Calibri" w:hAnsi="Calibri" w:eastAsia="Calibri"/>
                <w:b w:val="0"/>
                <w:i w:val="0"/>
                <w:color w:val="222222"/>
                <w:sz w:val="18"/>
              </w:rPr>
              <w:t>Oaths: not a pretext against good; laghw excused; ila' four months</w:t>
            </w:r>
          </w:p>
        </w:tc>
        <w:tc>
          <w:tcPr>
            <w:tcW w:type="dxa" w:w="3264"/>
            <w:shd w:fill="F4F1EA" w:val="clear"/>
          </w:tcPr>
          <w:p>
            <w:r/>
            <w:r>
              <w:rPr>
                <w:rFonts w:ascii="Calibri" w:hAnsi="Calibri" w:eastAsia="Calibri"/>
                <w:b w:val="0"/>
                <w:i w:val="0"/>
                <w:color w:val="222222"/>
                <w:sz w:val="18"/>
              </w:rPr>
              <w:t>DIRECT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Ethics and household law arrive as answers to questions (yasʾalūnaka). Wine is weighted, not yet banned. Marriage is closed to mushrik partners until belief. Menses is harm requiring distance then return. Īlāʾ clocks four months toward either return or divorce.</w:t>
      </w:r>
    </w:p>
    <w:p>
      <w:pPr>
        <w:spacing w:after="160"/>
      </w:pPr>
      <w:r>
        <w:rPr>
          <w:rFonts w:ascii="Calibri" w:hAnsi="Calibri" w:eastAsia="Calibri"/>
          <w:b w:val="0"/>
          <w:i w:val="0"/>
          <w:color w:val="222222"/>
          <w:sz w:val="22"/>
        </w:rPr>
        <w:t>Next: S002 CP14 = 2:228–242 (waiting period, divorce limits, nursing, widow-maintenance).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CP13 vv215-227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CP13 vv215-227</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