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S003 — ĀL ʿIMRĀN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3:1–32 (32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Stops before 3:33 (family of ʿImrān / Mary).</w:t>
      </w:r>
    </w:p>
    <w:p>
      <w:pPr>
        <w:spacing w:after="40"/>
      </w:pPr>
      <w:r>
        <w:rPr>
          <w:rFonts w:ascii="Calibri" w:hAnsi="Calibri" w:eastAsia="Calibri"/>
          <w:b/>
          <w:i w:val="0"/>
          <w:color w:val="1B3A4B"/>
          <w:sz w:val="22"/>
        </w:rPr>
        <w:t xml:space="preserve">Surah tag: </w:t>
      </w:r>
      <w:r>
        <w:rPr>
          <w:rFonts w:ascii="Calibri" w:hAnsi="Calibri" w:eastAsia="Calibri"/>
          <w:b w:val="0"/>
          <w:i w:val="0"/>
          <w:color w:val="222222"/>
          <w:sz w:val="22"/>
        </w:rPr>
        <w:t>Medinan by the traditional list</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Alif lām mīm. God: no god but He, the Living, the Self-Subsisting. He sent down the Book on you with truth, confirming what is before it, and He sent down the Torah and the Injīl before as guidance for people, and He sent down the Furqān. Those who disbelieve in God’s signs: severe punishment. Nothing is hidden from Him in earth or heaven. He forms you in the wombs as He wills. He sent down the Book; in it are muḥkamāt — they are the mother of the Book — and others mutashābihāt. Those with deviation follow what is mutashābih, seeking fitnah and seeking its taʾwīl; none knows its taʾwīl except God. Those firm in knowledge say we believe in it; all is from our Lord. Our Lord, do not deviate our hearts after You have guided us. Our Lord, You will gather people for a day in which there is no doubt. Neither wealth nor children of those who disbelieve will avail. Like Pharaoh’s folk and those before them: they denied Our signs. You have already had a sign in two companies that met — one fighting in God’s way, the other kāfir — they saw them twice their number with the eye. Beautified for people is love of desires. Say: shall I tell you of better than that? Gardens, spouses, God’s pleasure. The patient, truthful, obedient, spenders, seekers of forgiveness at dawn. God witnesses that there is no god but He, and the angels and those of knowledge, upholding justice. The dīn with God is al-islām. Those given the Book did not differ except after knowledge came to them, out of baghy among themselves. If they argue with you, say I have submitted my face to God, and whoever follows me. Say to those given the Book and the ummiyyūn: have you submitted? If they aslama they are guided; if they turn away, upon you is only the proclamation. Those who disbelieve in God’s signs and kill the prophets without right and kill those who command equity: give them tidings of a painful punishment. Have you not seen those given a portion of the Book? They are invited to the Book of God to judge between them; then a party of them turns away. That is because they say the Fire will not touch us except numbered days. How will it be when We gather them for a day in which there is no doubt. Say: O God, Owner of kingship, You give kingship to whom You will. You make the night enter the day. You provide whom You will without reckoning. Let not the believers take the disbelievers as awliyāʾ rather than believers. Say if you hide what is in your breasts or show it, God knows it. On the day every soul finds what it did of good present, and what it did of evil, it will wish there were a far span between it and that. Say: if you love God, follow me; God will love you and forgive you. Obey God and the messenger.</w:t>
      </w:r>
    </w:p>
    <w:p>
      <w:pPr>
        <w:pStyle w:val="Heading1"/>
      </w:pPr>
      <w:r>
        <w:rPr>
          <w:rFonts w:ascii="Calibri" w:hAnsi="Calibri"/>
          <w:color w:val="1B3A4B"/>
        </w:rPr>
        <w:t>2–3. Investigation</w:t>
      </w:r>
    </w:p>
    <w:p>
      <w:pPr>
        <w:pStyle w:val="Heading2"/>
      </w:pPr>
      <w:r>
        <w:rPr>
          <w:rFonts w:ascii="Calibri" w:hAnsi="Calibri"/>
          <w:color w:val="1B3A4B"/>
        </w:rPr>
        <w:t>3:3–4 Torah and Injīl named as sent down</w:t>
      </w:r>
    </w:p>
    <w:p>
      <w:pPr>
        <w:spacing w:after="160"/>
      </w:pPr>
      <w:r>
        <w:rPr>
          <w:rFonts w:ascii="Calibri" w:hAnsi="Calibri" w:eastAsia="Calibri"/>
          <w:b w:val="0"/>
          <w:i w:val="0"/>
          <w:color w:val="222222"/>
          <w:sz w:val="22"/>
        </w:rPr>
        <w:t>The Book on “you” is sent down with truth, muṣaddiqan li-mā bayna yadayhi. Torah and Injīl were sent down before as guidance for people; the Furqān is sent down. First time this surah names both prior books as tanzīl. Thickens QCA-0004 / QRQ-0003: they are guidance, they are confirmed, they are not here called corrupted files. Difference-after-knowledge is blamed on baghy (3:19), not yet on a rewritten text.</w:t>
      </w:r>
    </w:p>
    <w:p>
      <w:pPr>
        <w:pStyle w:val="Heading2"/>
      </w:pPr>
      <w:r>
        <w:rPr>
          <w:rFonts w:ascii="Calibri" w:hAnsi="Calibri"/>
          <w:color w:val="1B3A4B"/>
        </w:rPr>
        <w:t>3:7 muḥkam and mutashābih</w:t>
      </w:r>
    </w:p>
    <w:p>
      <w:pPr>
        <w:spacing w:after="160"/>
      </w:pPr>
      <w:r>
        <w:rPr>
          <w:rFonts w:ascii="Calibri" w:hAnsi="Calibri" w:eastAsia="Calibri"/>
          <w:b w:val="0"/>
          <w:i w:val="0"/>
          <w:color w:val="222222"/>
          <w:sz w:val="22"/>
        </w:rPr>
        <w:t>Two classes of āyāt. Mother of the Book = the muḥkamāt. People of zaygh chase the mutashābih for fitnah and taʾwīl. Pause after “except God” or after “except God and those firm in knowledge” is a famous reading split. Level 1 records both punctuations as live. This verse is the Quran’s own warning against using ambiguous lines as a playground.</w:t>
      </w:r>
    </w:p>
    <w:p>
      <w:pPr>
        <w:pStyle w:val="Heading2"/>
      </w:pPr>
      <w:r>
        <w:rPr>
          <w:rFonts w:ascii="Calibri" w:hAnsi="Calibri"/>
          <w:color w:val="1B3A4B"/>
        </w:rPr>
        <w:t>3:13 two companies</w:t>
      </w:r>
    </w:p>
    <w:p>
      <w:pPr>
        <w:spacing w:after="160"/>
      </w:pPr>
      <w:r>
        <w:rPr>
          <w:rFonts w:ascii="Calibri" w:hAnsi="Calibri" w:eastAsia="Calibri"/>
          <w:b w:val="0"/>
          <w:i w:val="0"/>
          <w:color w:val="222222"/>
          <w:sz w:val="22"/>
        </w:rPr>
        <w:t>A sign: two hosts met; one in God’s way, one kāfir; they saw them twice themselves. Traditional asbāb: Badr. The verse does not name the battle. Tag TRADITION for the proper name.</w:t>
      </w:r>
    </w:p>
    <w:p>
      <w:pPr>
        <w:pStyle w:val="Heading2"/>
      </w:pPr>
      <w:r>
        <w:rPr>
          <w:rFonts w:ascii="Calibri" w:hAnsi="Calibri"/>
          <w:color w:val="1B3A4B"/>
        </w:rPr>
        <w:t>3:19–20 the dīn with God is al-islām</w:t>
      </w:r>
    </w:p>
    <w:p>
      <w:pPr>
        <w:spacing w:after="160"/>
      </w:pPr>
      <w:r>
        <w:rPr>
          <w:rFonts w:ascii="Calibri" w:hAnsi="Calibri" w:eastAsia="Calibri"/>
          <w:b w:val="0"/>
          <w:i w:val="0"/>
          <w:color w:val="222222"/>
          <w:sz w:val="22"/>
        </w:rPr>
        <w:t>Inna l-dīna ʿinda llāhi l-islām. Those given the Book differed after knowledge, out of baghy. Submit the face; if they aslama they are guided; if not, only the balāgh is on you.</w:t>
      </w:r>
    </w:p>
    <w:p>
      <w:pPr>
        <w:spacing w:after="160"/>
      </w:pPr>
      <w:r>
        <w:rPr>
          <w:rFonts w:ascii="Calibri" w:hAnsi="Calibri" w:eastAsia="Calibri"/>
          <w:b w:val="0"/>
          <w:i w:val="0"/>
          <w:color w:val="222222"/>
          <w:sz w:val="22"/>
        </w:rPr>
        <w:t>Islām here can be heard as the generic submission already used of Abraham in 2:131–133, or as the named dīn of this messenger. Both hearings exist in the tradition. 3:85 (not yet in this packet) will say whoever seeks a dīn other than islām, it will not be accepted. 2:62 named reward for Jews, Christians, and Sabians who believe in God and the Last Day and do ṣāliḥ work. QI-0004 is now active: 2:62 / 3:19, with 3:85 still to come. Do not let 3:19 silently delete 2:62 before 3:85 is read in its own packet.</w:t>
      </w:r>
    </w:p>
    <w:p>
      <w:pPr>
        <w:spacing w:after="160"/>
      </w:pPr>
      <w:r>
        <w:rPr>
          <w:rFonts w:ascii="Calibri" w:hAnsi="Calibri" w:eastAsia="Calibri"/>
          <w:b w:val="0"/>
          <w:i w:val="0"/>
          <w:color w:val="222222"/>
          <w:sz w:val="22"/>
        </w:rPr>
        <w:t>QB-0064: PARTIAL AGREEMENT with “one God, one allegiance” claims in both Testaments (Shema; “I am the way” in John 14 is a different exclusivism). 3:19 is a dīn-name claim, not yet a full soteriology verse.</w:t>
      </w:r>
    </w:p>
    <w:p>
      <w:pPr>
        <w:pStyle w:val="Heading2"/>
      </w:pPr>
      <w:r>
        <w:rPr>
          <w:rFonts w:ascii="Calibri" w:hAnsi="Calibri"/>
          <w:color w:val="1B3A4B"/>
        </w:rPr>
        <w:t>3:21 kill the prophets; 3:23 portion of the Book</w:t>
      </w:r>
    </w:p>
    <w:p>
      <w:pPr>
        <w:spacing w:after="160"/>
      </w:pPr>
      <w:r>
        <w:rPr>
          <w:rFonts w:ascii="Calibri" w:hAnsi="Calibri" w:eastAsia="Calibri"/>
          <w:b w:val="0"/>
          <w:i w:val="0"/>
          <w:color w:val="222222"/>
          <w:sz w:val="22"/>
        </w:rPr>
        <w:t>Prophet-killing again (2:61, 2:87, 2:91). They are invited to the Book of God to judge between them; a party turns away. Numbered days in the Fire — same boast-structure as 2:80.</w:t>
      </w:r>
    </w:p>
    <w:p>
      <w:pPr>
        <w:pStyle w:val="Heading2"/>
      </w:pPr>
      <w:r>
        <w:rPr>
          <w:rFonts w:ascii="Calibri" w:hAnsi="Calibri"/>
          <w:color w:val="1B3A4B"/>
        </w:rPr>
        <w:t>3:26–27 Owner of kingship</w:t>
      </w:r>
    </w:p>
    <w:p>
      <w:pPr>
        <w:spacing w:after="160"/>
      </w:pPr>
      <w:r>
        <w:rPr>
          <w:rFonts w:ascii="Calibri" w:hAnsi="Calibri" w:eastAsia="Calibri"/>
          <w:b w:val="0"/>
          <w:i w:val="0"/>
          <w:color w:val="222222"/>
          <w:sz w:val="22"/>
        </w:rPr>
        <w:t>God gives and strips mulk, honors and abases, folds night into day, provides without ḥisāb. Continuity with 2:247 (God gives kingship to whom He wills).</w:t>
      </w:r>
    </w:p>
    <w:p>
      <w:pPr>
        <w:pStyle w:val="Heading2"/>
      </w:pPr>
      <w:r>
        <w:rPr>
          <w:rFonts w:ascii="Calibri" w:hAnsi="Calibri"/>
          <w:color w:val="1B3A4B"/>
        </w:rPr>
        <w:t>3:28–32 walī and follow me</w:t>
      </w:r>
    </w:p>
    <w:p>
      <w:pPr>
        <w:spacing w:after="160"/>
      </w:pPr>
      <w:r>
        <w:rPr>
          <w:rFonts w:ascii="Calibri" w:hAnsi="Calibri" w:eastAsia="Calibri"/>
          <w:b w:val="0"/>
          <w:i w:val="0"/>
          <w:color w:val="222222"/>
          <w:sz w:val="22"/>
        </w:rPr>
        <w:t>Believers are not to take disbelievers as awliyāʾ rather than believers. Exception: unless you guard against them in precaution (tuqātan) — a famous exception later used for concealment under threat. If you love God, follow me; God will love you. Obey God and the messenger. First “follow me → God loves you” formula in the reading order.</w:t>
      </w:r>
    </w:p>
    <w:p>
      <w:pPr>
        <w:pStyle w:val="Heading1"/>
      </w:pPr>
      <w:r>
        <w:rPr>
          <w:rFonts w:ascii="Calibri" w:hAnsi="Calibri"/>
          <w:color w:val="1B3A4B"/>
        </w:rPr>
        <w:t>4–9. Language, QRQ,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Tawrat / Injil</w:t>
            </w:r>
          </w:p>
        </w:tc>
        <w:tc>
          <w:tcPr>
            <w:tcW w:type="dxa" w:w="4896"/>
          </w:tcPr>
          <w:p>
            <w:r/>
            <w:r>
              <w:rPr>
                <w:rFonts w:ascii="Calibri" w:hAnsi="Calibri" w:eastAsia="Calibri"/>
                <w:b w:val="0"/>
                <w:i w:val="0"/>
                <w:color w:val="222222"/>
                <w:sz w:val="18"/>
              </w:rPr>
              <w:t>named as prior tanzil</w:t>
            </w:r>
          </w:p>
        </w:tc>
      </w:tr>
      <w:tr>
        <w:tc>
          <w:tcPr>
            <w:tcW w:type="dxa" w:w="4896"/>
            <w:shd w:fill="F4F1EA" w:val="clear"/>
          </w:tcPr>
          <w:p>
            <w:r/>
            <w:r>
              <w:rPr>
                <w:rFonts w:ascii="Calibri" w:hAnsi="Calibri" w:eastAsia="Calibri"/>
                <w:b w:val="0"/>
                <w:i w:val="0"/>
                <w:color w:val="222222"/>
                <w:sz w:val="18"/>
              </w:rPr>
              <w:t>muhkam / mutashabih</w:t>
            </w:r>
          </w:p>
        </w:tc>
        <w:tc>
          <w:tcPr>
            <w:tcW w:type="dxa" w:w="4896"/>
            <w:shd w:fill="F4F1EA" w:val="clear"/>
          </w:tcPr>
          <w:p>
            <w:r/>
            <w:r>
              <w:rPr>
                <w:rFonts w:ascii="Calibri" w:hAnsi="Calibri" w:eastAsia="Calibri"/>
                <w:b w:val="0"/>
                <w:i w:val="0"/>
                <w:color w:val="222222"/>
                <w:sz w:val="18"/>
              </w:rPr>
              <w:t>clear / resembling-ambiguous</w:t>
            </w:r>
          </w:p>
        </w:tc>
      </w:tr>
      <w:tr>
        <w:tc>
          <w:tcPr>
            <w:tcW w:type="dxa" w:w="4896"/>
          </w:tcPr>
          <w:p>
            <w:r/>
            <w:r>
              <w:rPr>
                <w:rFonts w:ascii="Calibri" w:hAnsi="Calibri" w:eastAsia="Calibri"/>
                <w:b w:val="0"/>
                <w:i w:val="0"/>
                <w:color w:val="222222"/>
                <w:sz w:val="18"/>
              </w:rPr>
              <w:t>umm al-kitab</w:t>
            </w:r>
          </w:p>
        </w:tc>
        <w:tc>
          <w:tcPr>
            <w:tcW w:type="dxa" w:w="4896"/>
          </w:tcPr>
          <w:p>
            <w:r/>
            <w:r>
              <w:rPr>
                <w:rFonts w:ascii="Calibri" w:hAnsi="Calibri" w:eastAsia="Calibri"/>
                <w:b w:val="0"/>
                <w:i w:val="0"/>
                <w:color w:val="222222"/>
                <w:sz w:val="18"/>
              </w:rPr>
              <w:t>mother of the Book</w:t>
            </w:r>
          </w:p>
        </w:tc>
      </w:tr>
      <w:tr>
        <w:tc>
          <w:tcPr>
            <w:tcW w:type="dxa" w:w="4896"/>
            <w:shd w:fill="F4F1EA" w:val="clear"/>
          </w:tcPr>
          <w:p>
            <w:r/>
            <w:r>
              <w:rPr>
                <w:rFonts w:ascii="Calibri" w:hAnsi="Calibri" w:eastAsia="Calibri"/>
                <w:b w:val="0"/>
                <w:i w:val="0"/>
                <w:color w:val="222222"/>
                <w:sz w:val="18"/>
              </w:rPr>
              <w:t>ta'wil</w:t>
            </w:r>
          </w:p>
        </w:tc>
        <w:tc>
          <w:tcPr>
            <w:tcW w:type="dxa" w:w="4896"/>
            <w:shd w:fill="F4F1EA" w:val="clear"/>
          </w:tcPr>
          <w:p>
            <w:r/>
            <w:r>
              <w:rPr>
                <w:rFonts w:ascii="Calibri" w:hAnsi="Calibri" w:eastAsia="Calibri"/>
                <w:b w:val="0"/>
                <w:i w:val="0"/>
                <w:color w:val="222222"/>
                <w:sz w:val="18"/>
              </w:rPr>
              <w:t>interpretation / outcome</w:t>
            </w:r>
          </w:p>
        </w:tc>
      </w:tr>
      <w:tr>
        <w:tc>
          <w:tcPr>
            <w:tcW w:type="dxa" w:w="4896"/>
          </w:tcPr>
          <w:p>
            <w:r/>
            <w:r>
              <w:rPr>
                <w:rFonts w:ascii="Calibri" w:hAnsi="Calibri" w:eastAsia="Calibri"/>
                <w:b w:val="0"/>
                <w:i w:val="0"/>
                <w:color w:val="222222"/>
                <w:sz w:val="18"/>
              </w:rPr>
              <w:t>al-islam</w:t>
            </w:r>
          </w:p>
        </w:tc>
        <w:tc>
          <w:tcPr>
            <w:tcW w:type="dxa" w:w="4896"/>
          </w:tcPr>
          <w:p>
            <w:r/>
            <w:r>
              <w:rPr>
                <w:rFonts w:ascii="Calibri" w:hAnsi="Calibri" w:eastAsia="Calibri"/>
                <w:b w:val="0"/>
                <w:i w:val="0"/>
                <w:color w:val="222222"/>
                <w:sz w:val="18"/>
              </w:rPr>
              <w:t>submission / the named din</w:t>
            </w:r>
          </w:p>
        </w:tc>
      </w:tr>
      <w:tr>
        <w:tc>
          <w:tcPr>
            <w:tcW w:type="dxa" w:w="4896"/>
            <w:shd w:fill="F4F1EA" w:val="clear"/>
          </w:tcPr>
          <w:p>
            <w:r/>
            <w:r>
              <w:rPr>
                <w:rFonts w:ascii="Calibri" w:hAnsi="Calibri" w:eastAsia="Calibri"/>
                <w:b w:val="0"/>
                <w:i w:val="0"/>
                <w:color w:val="222222"/>
                <w:sz w:val="18"/>
              </w:rPr>
              <w:t>baghy</w:t>
            </w:r>
          </w:p>
        </w:tc>
        <w:tc>
          <w:tcPr>
            <w:tcW w:type="dxa" w:w="4896"/>
            <w:shd w:fill="F4F1EA" w:val="clear"/>
          </w:tcPr>
          <w:p>
            <w:r/>
            <w:r>
              <w:rPr>
                <w:rFonts w:ascii="Calibri" w:hAnsi="Calibri" w:eastAsia="Calibri"/>
                <w:b w:val="0"/>
                <w:i w:val="0"/>
                <w:color w:val="222222"/>
                <w:sz w:val="18"/>
              </w:rPr>
              <w:t>rivalry — same as 2:213</w:t>
            </w:r>
          </w:p>
        </w:tc>
      </w:tr>
      <w:tr>
        <w:tc>
          <w:tcPr>
            <w:tcW w:type="dxa" w:w="4896"/>
          </w:tcPr>
          <w:p>
            <w:r/>
            <w:r>
              <w:rPr>
                <w:rFonts w:ascii="Calibri" w:hAnsi="Calibri" w:eastAsia="Calibri"/>
                <w:b w:val="0"/>
                <w:i w:val="0"/>
                <w:color w:val="222222"/>
                <w:sz w:val="18"/>
              </w:rPr>
              <w:t>awliya'</w:t>
            </w:r>
          </w:p>
        </w:tc>
        <w:tc>
          <w:tcPr>
            <w:tcW w:type="dxa" w:w="4896"/>
          </w:tcPr>
          <w:p>
            <w:r/>
            <w:r>
              <w:rPr>
                <w:rFonts w:ascii="Calibri" w:hAnsi="Calibri" w:eastAsia="Calibri"/>
                <w:b w:val="0"/>
                <w:i w:val="0"/>
                <w:color w:val="222222"/>
                <w:sz w:val="18"/>
              </w:rPr>
              <w:t>allies / patrons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Hayy qayyum again; forms in the wombs; Owner of mulk; loves those who follow the messenger.</w:t>
            </w:r>
          </w:p>
        </w:tc>
      </w:tr>
      <w:tr>
        <w:tc>
          <w:tcPr>
            <w:tcW w:type="dxa" w:w="4896"/>
            <w:shd w:fill="F4F1EA" w:val="clear"/>
          </w:tcPr>
          <w:p>
            <w:r/>
            <w:r>
              <w:rPr>
                <w:rFonts w:ascii="Calibri" w:hAnsi="Calibri" w:eastAsia="Calibri"/>
                <w:b w:val="0"/>
                <w:i w:val="0"/>
                <w:color w:val="222222"/>
                <w:sz w:val="18"/>
              </w:rPr>
              <w:t>0003</w:t>
            </w:r>
          </w:p>
        </w:tc>
        <w:tc>
          <w:tcPr>
            <w:tcW w:type="dxa" w:w="4896"/>
            <w:shd w:fill="F4F1EA" w:val="clear"/>
          </w:tcPr>
          <w:p>
            <w:r/>
            <w:r>
              <w:rPr>
                <w:rFonts w:ascii="Calibri" w:hAnsi="Calibri" w:eastAsia="Calibri"/>
                <w:b w:val="0"/>
                <w:i w:val="0"/>
                <w:color w:val="222222"/>
                <w:sz w:val="18"/>
              </w:rPr>
              <w:t>Torah and Injil sent down as guidance; Book confirms what is before it; difference after knowledge is baghy; portion of the Book + invitation to God's Book.</w:t>
            </w:r>
          </w:p>
        </w:tc>
      </w:tr>
      <w:tr>
        <w:tc>
          <w:tcPr>
            <w:tcW w:type="dxa" w:w="4896"/>
          </w:tcPr>
          <w:p>
            <w:r/>
            <w:r>
              <w:rPr>
                <w:rFonts w:ascii="Calibri" w:hAnsi="Calibri" w:eastAsia="Calibri"/>
                <w:b w:val="0"/>
                <w:i w:val="0"/>
                <w:color w:val="222222"/>
                <w:sz w:val="18"/>
              </w:rPr>
              <w:t>0004</w:t>
            </w:r>
          </w:p>
        </w:tc>
        <w:tc>
          <w:tcPr>
            <w:tcW w:type="dxa" w:w="4896"/>
          </w:tcPr>
          <w:p>
            <w:r/>
            <w:r>
              <w:rPr>
                <w:rFonts w:ascii="Calibri" w:hAnsi="Calibri" w:eastAsia="Calibri"/>
                <w:b w:val="0"/>
                <w:i w:val="0"/>
                <w:color w:val="222222"/>
                <w:sz w:val="18"/>
              </w:rPr>
              <w:t>Follow me and God will love you; obey God and the messenger.</w:t>
            </w:r>
          </w:p>
        </w:tc>
      </w:tr>
      <w:tr>
        <w:tc>
          <w:tcPr>
            <w:tcW w:type="dxa" w:w="4896"/>
            <w:shd w:fill="F4F1EA" w:val="clear"/>
          </w:tcPr>
          <w:p>
            <w:r/>
            <w:r>
              <w:rPr>
                <w:rFonts w:ascii="Calibri" w:hAnsi="Calibri" w:eastAsia="Calibri"/>
                <w:b w:val="0"/>
                <w:i w:val="0"/>
                <w:color w:val="222222"/>
                <w:sz w:val="18"/>
              </w:rPr>
              <w:t>0005</w:t>
            </w:r>
          </w:p>
        </w:tc>
        <w:tc>
          <w:tcPr>
            <w:tcW w:type="dxa" w:w="4896"/>
            <w:shd w:fill="F4F1EA" w:val="clear"/>
          </w:tcPr>
          <w:p>
            <w:r/>
            <w:r>
              <w:rPr>
                <w:rFonts w:ascii="Calibri" w:hAnsi="Calibri" w:eastAsia="Calibri"/>
                <w:b w:val="0"/>
                <w:i w:val="0"/>
                <w:color w:val="222222"/>
                <w:sz w:val="18"/>
              </w:rPr>
              <w:t>Muhkam / mutashabih as an internal theory of the Book.</w:t>
            </w:r>
          </w:p>
        </w:tc>
      </w:tr>
      <w:tr>
        <w:tc>
          <w:tcPr>
            <w:tcW w:type="dxa" w:w="4896"/>
          </w:tcPr>
          <w:p>
            <w:r/>
            <w:r>
              <w:rPr>
                <w:rFonts w:ascii="Calibri" w:hAnsi="Calibri" w:eastAsia="Calibri"/>
                <w:b w:val="0"/>
                <w:i w:val="0"/>
                <w:color w:val="222222"/>
                <w:sz w:val="18"/>
              </w:rPr>
              <w:t>0010</w:t>
            </w:r>
          </w:p>
        </w:tc>
        <w:tc>
          <w:tcPr>
            <w:tcW w:type="dxa" w:w="4896"/>
          </w:tcPr>
          <w:p>
            <w:r/>
            <w:r>
              <w:rPr>
                <w:rFonts w:ascii="Calibri" w:hAnsi="Calibri" w:eastAsia="Calibri"/>
                <w:b w:val="0"/>
                <w:i w:val="0"/>
                <w:color w:val="222222"/>
                <w:sz w:val="18"/>
              </w:rPr>
              <w:t>3:19 din with God is islam — live with 2:62; wait for 3:85.</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QDISC-0090</w:t>
            </w:r>
          </w:p>
        </w:tc>
        <w:tc>
          <w:tcPr>
            <w:tcW w:type="dxa" w:w="4896"/>
          </w:tcPr>
          <w:p>
            <w:r/>
            <w:r>
              <w:rPr>
                <w:rFonts w:ascii="Calibri" w:hAnsi="Calibri" w:eastAsia="Calibri"/>
                <w:b w:val="0"/>
                <w:i w:val="0"/>
                <w:color w:val="222222"/>
                <w:sz w:val="18"/>
              </w:rPr>
              <w:t>Book sent down confirming; Torah and Injil sent down before as guidance</w:t>
            </w:r>
          </w:p>
        </w:tc>
      </w:tr>
      <w:tr>
        <w:tc>
          <w:tcPr>
            <w:tcW w:type="dxa" w:w="4896"/>
            <w:shd w:fill="F4F1EA" w:val="clear"/>
          </w:tcPr>
          <w:p>
            <w:r/>
            <w:r>
              <w:rPr>
                <w:rFonts w:ascii="Calibri" w:hAnsi="Calibri" w:eastAsia="Calibri"/>
                <w:b w:val="0"/>
                <w:i w:val="0"/>
                <w:color w:val="222222"/>
                <w:sz w:val="18"/>
              </w:rPr>
              <w:t>QDISC-0091</w:t>
            </w:r>
          </w:p>
        </w:tc>
        <w:tc>
          <w:tcPr>
            <w:tcW w:type="dxa" w:w="4896"/>
            <w:shd w:fill="F4F1EA" w:val="clear"/>
          </w:tcPr>
          <w:p>
            <w:r/>
            <w:r>
              <w:rPr>
                <w:rFonts w:ascii="Calibri" w:hAnsi="Calibri" w:eastAsia="Calibri"/>
                <w:b w:val="0"/>
                <w:i w:val="0"/>
                <w:color w:val="222222"/>
                <w:sz w:val="18"/>
              </w:rPr>
              <w:t>Muhkam and mutashabih; only God (and/or the firm) know ta'wil</w:t>
            </w:r>
          </w:p>
        </w:tc>
      </w:tr>
      <w:tr>
        <w:tc>
          <w:tcPr>
            <w:tcW w:type="dxa" w:w="4896"/>
          </w:tcPr>
          <w:p>
            <w:r/>
            <w:r>
              <w:rPr>
                <w:rFonts w:ascii="Calibri" w:hAnsi="Calibri" w:eastAsia="Calibri"/>
                <w:b w:val="0"/>
                <w:i w:val="0"/>
                <w:color w:val="222222"/>
                <w:sz w:val="18"/>
              </w:rPr>
              <w:t>QDISC-0092</w:t>
            </w:r>
          </w:p>
        </w:tc>
        <w:tc>
          <w:tcPr>
            <w:tcW w:type="dxa" w:w="4896"/>
          </w:tcPr>
          <w:p>
            <w:r/>
            <w:r>
              <w:rPr>
                <w:rFonts w:ascii="Calibri" w:hAnsi="Calibri" w:eastAsia="Calibri"/>
                <w:b w:val="0"/>
                <w:i w:val="0"/>
                <w:color w:val="222222"/>
                <w:sz w:val="18"/>
              </w:rPr>
              <w:t>The din with God is al-islam; Book-recipients differed after knowledge from baghy</w:t>
            </w:r>
          </w:p>
        </w:tc>
      </w:tr>
      <w:tr>
        <w:tc>
          <w:tcPr>
            <w:tcW w:type="dxa" w:w="4896"/>
            <w:shd w:fill="F4F1EA" w:val="clear"/>
          </w:tcPr>
          <w:p>
            <w:r/>
            <w:r>
              <w:rPr>
                <w:rFonts w:ascii="Calibri" w:hAnsi="Calibri" w:eastAsia="Calibri"/>
                <w:b w:val="0"/>
                <w:i w:val="0"/>
                <w:color w:val="222222"/>
                <w:sz w:val="18"/>
              </w:rPr>
              <w:t>QDISC-0093</w:t>
            </w:r>
          </w:p>
        </w:tc>
        <w:tc>
          <w:tcPr>
            <w:tcW w:type="dxa" w:w="4896"/>
            <w:shd w:fill="F4F1EA" w:val="clear"/>
          </w:tcPr>
          <w:p>
            <w:r/>
            <w:r>
              <w:rPr>
                <w:rFonts w:ascii="Calibri" w:hAnsi="Calibri" w:eastAsia="Calibri"/>
                <w:b w:val="0"/>
                <w:i w:val="0"/>
                <w:color w:val="222222"/>
                <w:sz w:val="18"/>
              </w:rPr>
              <w:t>Invited to the Book of God to judge; numbered-days boast</w:t>
            </w:r>
          </w:p>
        </w:tc>
      </w:tr>
      <w:tr>
        <w:tc>
          <w:tcPr>
            <w:tcW w:type="dxa" w:w="4896"/>
          </w:tcPr>
          <w:p>
            <w:r/>
            <w:r>
              <w:rPr>
                <w:rFonts w:ascii="Calibri" w:hAnsi="Calibri" w:eastAsia="Calibri"/>
                <w:b w:val="0"/>
                <w:i w:val="0"/>
                <w:color w:val="222222"/>
                <w:sz w:val="18"/>
              </w:rPr>
              <w:t>QDISC-0094</w:t>
            </w:r>
          </w:p>
        </w:tc>
        <w:tc>
          <w:tcPr>
            <w:tcW w:type="dxa" w:w="4896"/>
          </w:tcPr>
          <w:p>
            <w:r/>
            <w:r>
              <w:rPr>
                <w:rFonts w:ascii="Calibri" w:hAnsi="Calibri" w:eastAsia="Calibri"/>
                <w:b w:val="0"/>
                <w:i w:val="0"/>
                <w:color w:val="222222"/>
                <w:sz w:val="18"/>
              </w:rPr>
              <w:t>Do not take disbelievers as awliya; if you love God follow me</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Āl ʿImrān opens by naming Torah and Injīl as sent-down guidance and by stating that the dīn with God is islām. The Book contains clear lines and resembling lines; chasing the latter for fitnah is condemned. 2:62 is not cancelled by 3:19 on this page. Mary’s family begins at 3:33.</w:t>
      </w:r>
    </w:p>
    <w:p>
      <w:pPr>
        <w:spacing w:after="160"/>
      </w:pPr>
      <w:r>
        <w:rPr>
          <w:rFonts w:ascii="Calibri" w:hAnsi="Calibri" w:eastAsia="Calibri"/>
          <w:b w:val="0"/>
          <w:i w:val="0"/>
          <w:color w:val="222222"/>
          <w:sz w:val="22"/>
        </w:rPr>
        <w:t>Next: S003 CP02 = 3:33–63 (ʿImrān, Mary, Zechariah, John, the annunciation of Jesus, clay bird, disciples — the comparison core of this surah).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S003 CP01 vv001-032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S003 CP01 vv001-032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