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S005 — AL-MĀʾIDA — CP03</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5:27–40 (14 verses)</w:t>
      </w:r>
    </w:p>
    <w:p>
      <w:pPr>
        <w:spacing w:after="40"/>
      </w:pPr>
      <w:r>
        <w:rPr>
          <w:rFonts w:ascii="Calibri" w:hAnsi="Calibri" w:eastAsia="Calibri"/>
          <w:b/>
          <w:i w:val="0"/>
          <w:color w:val="1B3A4B"/>
          <w:sz w:val="22"/>
        </w:rPr>
        <w:t xml:space="preserve">Pair with: </w:t>
      </w:r>
      <w:r>
        <w:rPr>
          <w:rFonts w:ascii="Calibri" w:hAnsi="Calibri" w:eastAsia="Calibri"/>
          <w:b w:val="0"/>
          <w:i w:val="0"/>
          <w:color w:val="222222"/>
          <w:sz w:val="22"/>
        </w:rPr>
        <w:t>Exam_Cain_Abel_5_27-32.docx</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spacing w:after="160"/>
      </w:pPr>
      <w:r>
        <w:rPr>
          <w:rFonts w:ascii="Calibri" w:hAnsi="Calibri" w:eastAsia="Calibri"/>
          <w:b w:val="0"/>
          <w:i w:val="0"/>
          <w:color w:val="222222"/>
          <w:sz w:val="22"/>
        </w:rPr>
        <w:t>Describes ḥudūd clauses. Not a sentencing manual.</w:t>
      </w:r>
    </w:p>
    <w:p>
      <w:pPr>
        <w:pStyle w:val="Heading1"/>
      </w:pPr>
      <w:r>
        <w:rPr>
          <w:rFonts w:ascii="Calibri" w:hAnsi="Calibri"/>
          <w:color w:val="1B3A4B"/>
        </w:rPr>
        <w:t>1. Overview</w:t>
      </w:r>
    </w:p>
    <w:p>
      <w:pPr>
        <w:spacing w:after="160"/>
      </w:pPr>
      <w:r>
        <w:rPr>
          <w:rFonts w:ascii="Calibri" w:hAnsi="Calibri" w:eastAsia="Calibri"/>
          <w:b w:val="0"/>
          <w:i w:val="0"/>
          <w:color w:val="222222"/>
          <w:sz w:val="22"/>
        </w:rPr>
        <w:t>Recite the story of Adam’s two sons in truth. Two offerings; accepted from one. I will kill you. God accepts only from the muttaqīn. I will not stretch my hand; I want you to bear both sins. His nafs prompted him; he killed him; he became a loser. A crow taught him to hide the sawʾa; he regretted. Because of that We wrote on Israel: killing a soul not for a soul or for fasād in the land is as if killing all people; giving it life is as if giving life to all. Messengers came with bayyināt; many after that commit excess in the land. The repayment of those who wage war on God and His messenger and strive for fasād in the land: that they be killed, or crucified, or their hands and feet be cut from opposite sides, or they be banished from the land. That is disgrace in this world; in the hereafter a great punishment — except those who repent before you have power over them. Know that God is forgiving, merciful. O believers, fear God and seek the means to Him and strive in His way that you may succeed. Those who disbelieve, if they had what is in the earth all together and the like of it with it to ransom themselves from the punishment of the Day of Rising, it would not be accepted; they have a painful punishment. They want to go out of the Fire; they are not going out; they have an enduring punishment. The male and female thief: cut their hands as a repayment for what they earned, a nakāl from God. God is mighty, wise. Whoever repents after his ẓulm and puts things right: God turns to him. Do you not know that to God belongs the kingdom of the heavens and the earth? He punishes whom He wills and forgives whom He wills.</w:t>
      </w:r>
    </w:p>
    <w:p>
      <w:pPr>
        <w:pStyle w:val="Heading1"/>
      </w:pPr>
      <w:r>
        <w:rPr>
          <w:rFonts w:ascii="Calibri" w:hAnsi="Calibri"/>
          <w:color w:val="1B3A4B"/>
        </w:rPr>
        <w:t>2–3. Investigation</w:t>
      </w:r>
    </w:p>
    <w:p>
      <w:pPr>
        <w:pStyle w:val="Heading2"/>
      </w:pPr>
      <w:r>
        <w:rPr>
          <w:rFonts w:ascii="Calibri" w:hAnsi="Calibri"/>
          <w:color w:val="1B3A4B"/>
        </w:rPr>
        <w:t>5:27–32 two sons — pointer</w:t>
      </w:r>
    </w:p>
    <w:p>
      <w:pPr>
        <w:spacing w:after="160"/>
      </w:pPr>
      <w:r>
        <w:rPr>
          <w:rFonts w:ascii="Calibri" w:hAnsi="Calibri" w:eastAsia="Calibri"/>
          <w:b w:val="0"/>
          <w:i w:val="0"/>
          <w:color w:val="222222"/>
          <w:sz w:val="22"/>
        </w:rPr>
        <w:t>Full scene-by-scene against Genesis 4 and Mishnah Sanhedrin 4:5 is in Exam_Cain_Abel_5_27-32.docx (QB-0112–0115; QDISC-0196–0198). This packet does not reprint that table. What this packet needs from 5:32 is the hinge into 5:33: the fasād-in-the-land exception is the door the next verse walks through.</w:t>
      </w:r>
    </w:p>
    <w:p>
      <w:pPr>
        <w:pStyle w:val="Heading2"/>
      </w:pPr>
      <w:r>
        <w:rPr>
          <w:rFonts w:ascii="Calibri" w:hAnsi="Calibri"/>
          <w:color w:val="1B3A4B"/>
        </w:rPr>
        <w:t>5:33–34 ḥirāba</w:t>
      </w:r>
    </w:p>
    <w:p>
      <w:pPr>
        <w:spacing w:after="160"/>
      </w:pPr>
      <w:r>
        <w:rPr>
          <w:rFonts w:ascii="Calibri" w:hAnsi="Calibri" w:eastAsia="Calibri"/>
          <w:b w:val="0"/>
          <w:i w:val="0"/>
          <w:color w:val="222222"/>
          <w:sz w:val="22"/>
        </w:rPr>
        <w:t>Those who yuḥāribūna Allāha wa-rasūlahu and yasʿawna fī l-arḍi fasādan: killed, or crucified, or hands and feet from opposite sides, or banished from the land. World-disgrace; hereafter a great punishment. Except who repent before you have power over them.</w:t>
      </w:r>
    </w:p>
    <w:p>
      <w:pPr>
        <w:spacing w:after="160"/>
      </w:pPr>
      <w:r>
        <w:rPr>
          <w:rFonts w:ascii="Calibri" w:hAnsi="Calibri" w:eastAsia="Calibri"/>
          <w:b w:val="0"/>
          <w:i w:val="0"/>
          <w:color w:val="222222"/>
          <w:sz w:val="22"/>
        </w:rPr>
        <w:t>Four named repayments, or-clauses. Traditional fiqh treats this as highway robbery / armed terror against the public order (ḥirāba), and then argues which act maps to which penalty. That mapping is Level 4. Level 1 is the four-or list plus a repentance window that closes once “you have power over them.”</w:t>
      </w:r>
    </w:p>
    <w:p>
      <w:pPr>
        <w:spacing w:after="160"/>
      </w:pPr>
      <w:r>
        <w:rPr>
          <w:rFonts w:ascii="Calibri" w:hAnsi="Calibri" w:eastAsia="Calibri"/>
          <w:b w:val="0"/>
          <w:i w:val="0"/>
          <w:color w:val="222222"/>
          <w:sz w:val="22"/>
        </w:rPr>
        <w:t>Ṣalb here is the same root as 4:157’s “they did not crucify him.” Different file: a ḥadd option, not the Jesus scene. Do not merge the two ṣ-l-b verses.</w:t>
      </w:r>
    </w:p>
    <w:p>
      <w:pPr>
        <w:spacing w:after="160"/>
      </w:pPr>
      <w:r>
        <w:rPr>
          <w:rFonts w:ascii="Calibri" w:hAnsi="Calibri" w:eastAsia="Calibri"/>
          <w:b w:val="0"/>
          <w:i w:val="0"/>
          <w:color w:val="222222"/>
          <w:sz w:val="22"/>
        </w:rPr>
        <w:t>QB-0116: POSSIBLE RELATIONSHIP with Torah extreme-penalty lists for public violence (Exod 22:2 night-thief; Num 35; Deut 13 / 17 public evil) and with Roman crucifixion as a public-order death. The four-option menu is this verse’s own. This packet describes the menu. It does not apply it.</w:t>
      </w:r>
    </w:p>
    <w:p>
      <w:pPr>
        <w:pStyle w:val="Heading2"/>
      </w:pPr>
      <w:r>
        <w:rPr>
          <w:rFonts w:ascii="Calibri" w:hAnsi="Calibri"/>
          <w:color w:val="1B3A4B"/>
        </w:rPr>
        <w:t>5:35–37 seek the means; ransom will not work</w:t>
      </w:r>
    </w:p>
    <w:p>
      <w:pPr>
        <w:spacing w:after="160"/>
      </w:pPr>
      <w:r>
        <w:rPr>
          <w:rFonts w:ascii="Calibri" w:hAnsi="Calibri" w:eastAsia="Calibri"/>
          <w:b w:val="0"/>
          <w:i w:val="0"/>
          <w:color w:val="222222"/>
          <w:sz w:val="22"/>
        </w:rPr>
        <w:t>Fear God; seek the wasīla to Him; strive in His way. If the disbelievers had the earth twice over as ransom from the Rising-punishment it would not be accepted. They want out of the Fire; they are not coming out.</w:t>
      </w:r>
    </w:p>
    <w:p>
      <w:pPr>
        <w:pStyle w:val="Heading2"/>
      </w:pPr>
      <w:r>
        <w:rPr>
          <w:rFonts w:ascii="Calibri" w:hAnsi="Calibri"/>
          <w:color w:val="1B3A4B"/>
        </w:rPr>
        <w:t>5:38–40 male and female thief</w:t>
      </w:r>
    </w:p>
    <w:p>
      <w:pPr>
        <w:spacing w:after="160"/>
      </w:pPr>
      <w:r>
        <w:rPr>
          <w:rFonts w:ascii="Calibri" w:hAnsi="Calibri" w:eastAsia="Calibri"/>
          <w:b w:val="0"/>
          <w:i w:val="0"/>
          <w:color w:val="222222"/>
          <w:sz w:val="22"/>
        </w:rPr>
        <w:t>Al-sāriqu wa-l-sāriqatu fa-iqṭaʿū aydiyahumā — cut their hands — repayment for what they earned, a nakāl from God. Whoever repents after his ẓulm and puts things right: God turns to him. Kingdom is God’s; He punishes and forgives whom He wills.</w:t>
      </w:r>
    </w:p>
    <w:p>
      <w:pPr>
        <w:spacing w:after="160"/>
      </w:pPr>
      <w:r>
        <w:rPr>
          <w:rFonts w:ascii="Calibri" w:hAnsi="Calibri" w:eastAsia="Calibri"/>
          <w:b w:val="0"/>
          <w:i w:val="0"/>
          <w:color w:val="222222"/>
          <w:sz w:val="22"/>
        </w:rPr>
        <w:t>Level 1 names male and female together and names cutting of hands as repayment and deterrent. Nisāb, which hand, first offense, famine exceptions: all later fiqh. 12:31 uses the same root for the women cutting their hands at Joseph — different scene, same verb family. 5:38 is a ḥadd verse. Describe it; do not write a procedure.</w:t>
      </w:r>
    </w:p>
    <w:p>
      <w:pPr>
        <w:spacing w:after="160"/>
      </w:pPr>
      <w:r>
        <w:rPr>
          <w:rFonts w:ascii="Calibri" w:hAnsi="Calibri" w:eastAsia="Calibri"/>
          <w:b w:val="0"/>
          <w:i w:val="0"/>
          <w:color w:val="222222"/>
          <w:sz w:val="22"/>
        </w:rPr>
        <w:t>QB-0117: CONTRAST with Torah theft law, which is restitution-centered (Exod 22:1–4: pay back multiple; if nothing, sold for the theft). Hand-cutting as the named repayment is this verse’s own architecture. Later rabbinic and Christian legal histories go other ways.</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QB-0116</w:t>
            </w:r>
          </w:p>
        </w:tc>
        <w:tc>
          <w:tcPr>
            <w:tcW w:type="dxa" w:w="3264"/>
          </w:tcPr>
          <w:p>
            <w:r/>
            <w:r>
              <w:rPr>
                <w:rFonts w:ascii="Calibri" w:hAnsi="Calibri" w:eastAsia="Calibri"/>
                <w:b w:val="0"/>
                <w:i w:val="0"/>
                <w:color w:val="222222"/>
                <w:sz w:val="18"/>
              </w:rPr>
              <w:t>Hiraba four-or menu</w:t>
            </w:r>
          </w:p>
        </w:tc>
        <w:tc>
          <w:tcPr>
            <w:tcW w:type="dxa" w:w="3264"/>
          </w:tcPr>
          <w:p>
            <w:r/>
            <w:r>
              <w:rPr>
                <w:rFonts w:ascii="Calibri" w:hAnsi="Calibri" w:eastAsia="Calibri"/>
                <w:b w:val="0"/>
                <w:i w:val="0"/>
                <w:color w:val="222222"/>
                <w:sz w:val="18"/>
              </w:rPr>
              <w:t>POSSIBLE RELATIONSHIP with public-violence penalties; menu is this verse's</w:t>
            </w:r>
          </w:p>
        </w:tc>
      </w:tr>
      <w:tr>
        <w:tc>
          <w:tcPr>
            <w:tcW w:type="dxa" w:w="3264"/>
            <w:shd w:fill="F4F1EA" w:val="clear"/>
          </w:tcPr>
          <w:p>
            <w:r/>
            <w:r>
              <w:rPr>
                <w:rFonts w:ascii="Calibri" w:hAnsi="Calibri" w:eastAsia="Calibri"/>
                <w:b w:val="0"/>
                <w:i w:val="0"/>
                <w:color w:val="222222"/>
                <w:sz w:val="18"/>
              </w:rPr>
              <w:t>QB-0117</w:t>
            </w:r>
          </w:p>
        </w:tc>
        <w:tc>
          <w:tcPr>
            <w:tcW w:type="dxa" w:w="3264"/>
            <w:shd w:fill="F4F1EA" w:val="clear"/>
          </w:tcPr>
          <w:p>
            <w:r/>
            <w:r>
              <w:rPr>
                <w:rFonts w:ascii="Calibri" w:hAnsi="Calibri" w:eastAsia="Calibri"/>
                <w:b w:val="0"/>
                <w:i w:val="0"/>
                <w:color w:val="222222"/>
                <w:sz w:val="18"/>
              </w:rPr>
              <w:t>Cut the thief's hand vs Torah restitution</w:t>
            </w:r>
          </w:p>
        </w:tc>
        <w:tc>
          <w:tcPr>
            <w:tcW w:type="dxa" w:w="3264"/>
            <w:shd w:fill="F4F1EA" w:val="clear"/>
          </w:tcPr>
          <w:p>
            <w:r/>
            <w:r>
              <w:rPr>
                <w:rFonts w:ascii="Calibri" w:hAnsi="Calibri" w:eastAsia="Calibri"/>
                <w:b w:val="0"/>
                <w:i w:val="0"/>
                <w:color w:val="222222"/>
                <w:sz w:val="18"/>
              </w:rPr>
              <w:t>CONTRAST of architecture</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QDISC-0199</w:t>
            </w:r>
          </w:p>
        </w:tc>
        <w:tc>
          <w:tcPr>
            <w:tcW w:type="dxa" w:w="4896"/>
          </w:tcPr>
          <w:p>
            <w:r/>
            <w:r>
              <w:rPr>
                <w:rFonts w:ascii="Calibri" w:hAnsi="Calibri" w:eastAsia="Calibri"/>
                <w:b w:val="0"/>
                <w:i w:val="0"/>
                <w:color w:val="222222"/>
                <w:sz w:val="18"/>
              </w:rPr>
              <w:t>Hiraba: war on God and the messenger plus fasad in the land; four-or repayment; tawba before power</w:t>
            </w:r>
          </w:p>
        </w:tc>
      </w:tr>
      <w:tr>
        <w:tc>
          <w:tcPr>
            <w:tcW w:type="dxa" w:w="4896"/>
            <w:shd w:fill="F4F1EA" w:val="clear"/>
          </w:tcPr>
          <w:p>
            <w:r/>
            <w:r>
              <w:rPr>
                <w:rFonts w:ascii="Calibri" w:hAnsi="Calibri" w:eastAsia="Calibri"/>
                <w:b w:val="0"/>
                <w:i w:val="0"/>
                <w:color w:val="222222"/>
                <w:sz w:val="18"/>
              </w:rPr>
              <w:t>QDISC-0200</w:t>
            </w:r>
          </w:p>
        </w:tc>
        <w:tc>
          <w:tcPr>
            <w:tcW w:type="dxa" w:w="4896"/>
            <w:shd w:fill="F4F1EA" w:val="clear"/>
          </w:tcPr>
          <w:p>
            <w:r/>
            <w:r>
              <w:rPr>
                <w:rFonts w:ascii="Calibri" w:hAnsi="Calibri" w:eastAsia="Calibri"/>
                <w:b w:val="0"/>
                <w:i w:val="0"/>
                <w:color w:val="222222"/>
                <w:sz w:val="18"/>
              </w:rPr>
              <w:t>Seek the wasila; earth-twice ransom will not buy the Rising</w:t>
            </w:r>
          </w:p>
        </w:tc>
      </w:tr>
      <w:tr>
        <w:tc>
          <w:tcPr>
            <w:tcW w:type="dxa" w:w="4896"/>
          </w:tcPr>
          <w:p>
            <w:r/>
            <w:r>
              <w:rPr>
                <w:rFonts w:ascii="Calibri" w:hAnsi="Calibri" w:eastAsia="Calibri"/>
                <w:b w:val="0"/>
                <w:i w:val="0"/>
                <w:color w:val="222222"/>
                <w:sz w:val="18"/>
              </w:rPr>
              <w:t>QDISC-0201</w:t>
            </w:r>
          </w:p>
        </w:tc>
        <w:tc>
          <w:tcPr>
            <w:tcW w:type="dxa" w:w="4896"/>
          </w:tcPr>
          <w:p>
            <w:r/>
            <w:r>
              <w:rPr>
                <w:rFonts w:ascii="Calibri" w:hAnsi="Calibri" w:eastAsia="Calibri"/>
                <w:b w:val="0"/>
                <w:i w:val="0"/>
                <w:color w:val="222222"/>
                <w:sz w:val="18"/>
              </w:rPr>
              <w:t>Male and female thief: cut hands as nakal; tawba after zulm if they put things right</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5:32’s fasād exception becomes 5:33’s charge. Ḥirāba is a four-or list with a pre-capture tawba window. Theft is named as hand-cutting for man and woman, with a post-ẓulm tawba if they repair. Next: 5:41–50 (those who rush into kufr; they say if you are given this take it; judge by what God sent down; whose judgment if not God’s).</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S005 CP03 vv027-040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S005 CP03 vv027-040</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