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B3A4B"/>
        </w:rPr>
        <w:t>S009 — AL-TAWBA — CP04</w:t>
      </w:r>
    </w:p>
    <w:p>
      <w:pPr>
        <w:spacing w:after="40"/>
      </w:pPr>
      <w:r>
        <w:rPr>
          <w:rFonts w:ascii="Calibri" w:hAnsi="Calibri" w:eastAsia="Calibri"/>
          <w:b/>
          <w:i w:val="0"/>
          <w:color w:val="1B3A4B"/>
          <w:sz w:val="22"/>
        </w:rPr>
        <w:t xml:space="preserve">Unit: </w:t>
      </w:r>
      <w:r>
        <w:rPr>
          <w:rFonts w:ascii="Calibri" w:hAnsi="Calibri" w:eastAsia="Calibri"/>
          <w:b w:val="0"/>
          <w:i w:val="0"/>
          <w:color w:val="222222"/>
          <w:sz w:val="22"/>
        </w:rPr>
        <w:t>9:38–52 (15 verses)</w:t>
      </w:r>
    </w:p>
    <w:p>
      <w:pPr>
        <w:spacing w:after="40"/>
      </w:pPr>
      <w:r>
        <w:rPr>
          <w:rFonts w:ascii="Calibri" w:hAnsi="Calibri" w:eastAsia="Calibri"/>
          <w:b/>
          <w:i w:val="0"/>
          <w:color w:val="1B3A4B"/>
          <w:sz w:val="22"/>
        </w:rPr>
        <w:t xml:space="preserve">Date: </w:t>
      </w:r>
      <w:r>
        <w:rPr>
          <w:rFonts w:ascii="Calibri" w:hAnsi="Calibri" w:eastAsia="Calibri"/>
          <w:b w:val="0"/>
          <w:i w:val="0"/>
          <w:color w:val="222222"/>
          <w:sz w:val="22"/>
        </w:rPr>
        <w:t>12 September 2026</w:t>
      </w:r>
    </w:p>
    <w:p>
      <w:pPr>
        <w:pStyle w:val="Heading1"/>
      </w:pPr>
      <w:r>
        <w:rPr>
          <w:rFonts w:ascii="Calibri" w:hAnsi="Calibri"/>
          <w:color w:val="1B3A4B"/>
        </w:rPr>
        <w:t>1. Overview</w:t>
      </w:r>
    </w:p>
    <w:p>
      <w:pPr>
        <w:spacing w:after="160"/>
      </w:pPr>
      <w:r>
        <w:rPr>
          <w:rFonts w:ascii="Calibri" w:hAnsi="Calibri" w:eastAsia="Calibri"/>
          <w:b w:val="0"/>
          <w:i w:val="0"/>
          <w:color w:val="222222"/>
          <w:sz w:val="22"/>
        </w:rPr>
        <w:t>O you who believe, what is with you that when you are told go forth in God’s path you cling heavily to the earth? Are you pleased with this world’s life instead of the last? The enjoyment of this world’s life is only little in the last. If you do not go forth He will punish you a painful punishment and replace you with another people. You will not harm Him anything. God is over all things powerful.</w:t>
      </w:r>
    </w:p>
    <w:p>
      <w:pPr>
        <w:spacing w:after="160"/>
      </w:pPr>
      <w:r>
        <w:rPr>
          <w:rFonts w:ascii="Calibri" w:hAnsi="Calibri" w:eastAsia="Calibri"/>
          <w:b w:val="0"/>
          <w:i w:val="0"/>
          <w:color w:val="222222"/>
          <w:sz w:val="22"/>
        </w:rPr>
        <w:t>If you do not help him — God already helped him when those who disbelieved expelled him, the second of two, when they were in the cave, when he said to his companion: do not grieve, God is with us. God sent down His sakīna on him and supported him with forces you did not see, and made the word of those who disbelieved the lowest, and God’s word is the highest. God is Mighty, Wise.</w:t>
      </w:r>
    </w:p>
    <w:p>
      <w:pPr>
        <w:spacing w:after="160"/>
      </w:pPr>
      <w:r>
        <w:rPr>
          <w:rFonts w:ascii="Calibri" w:hAnsi="Calibri" w:eastAsia="Calibri"/>
          <w:b w:val="0"/>
          <w:i w:val="0"/>
          <w:color w:val="222222"/>
          <w:sz w:val="22"/>
        </w:rPr>
        <w:t>Go forth light and heavy, and strive with your property and your lives in God’s path. That is better for you if you knew. Had it been a near gain and a short journey they would have followed you, but the distance was far for them. They will swear by God: if we could we would have gone out with you. They destroy themselves. God knows they are liars.</w:t>
      </w:r>
    </w:p>
    <w:p>
      <w:pPr>
        <w:spacing w:after="160"/>
      </w:pPr>
      <w:r>
        <w:rPr>
          <w:rFonts w:ascii="Calibri" w:hAnsi="Calibri" w:eastAsia="Calibri"/>
          <w:b w:val="0"/>
          <w:i w:val="0"/>
          <w:color w:val="222222"/>
          <w:sz w:val="22"/>
        </w:rPr>
        <w:t>God pardon you. Why did you give them leave before it became clear to you who were truthful and you knew the liars? Those who believe in God and the Last Day do not ask your leave to strive with their property and their lives. God knows the God-fearing. Only those who do not believe in God and the Last Day ask your leave, their hearts in doubt, tossing in their doubt.</w:t>
      </w:r>
    </w:p>
    <w:p>
      <w:pPr>
        <w:spacing w:after="160"/>
      </w:pPr>
      <w:r>
        <w:rPr>
          <w:rFonts w:ascii="Calibri" w:hAnsi="Calibri" w:eastAsia="Calibri"/>
          <w:b w:val="0"/>
          <w:i w:val="0"/>
          <w:color w:val="222222"/>
          <w:sz w:val="22"/>
        </w:rPr>
        <w:t>Had they wanted to go forth they would have prepared some preparation for it. But God disliked their being sent forth, so He made them lag, and it was said: sit with the sitters. Had they gone out among you they would have increased you only in ruin and hurried about in your midst seeking fitna for you. Among you are listeners to them. God knows the wrongdoers. They sought fitna before and turned matters over for you until the truth came and God’s command appeared, while they were averse.</w:t>
      </w:r>
    </w:p>
    <w:p>
      <w:pPr>
        <w:spacing w:after="160"/>
      </w:pPr>
      <w:r>
        <w:rPr>
          <w:rFonts w:ascii="Calibri" w:hAnsi="Calibri" w:eastAsia="Calibri"/>
          <w:b w:val="0"/>
          <w:i w:val="0"/>
          <w:color w:val="222222"/>
          <w:sz w:val="22"/>
        </w:rPr>
        <w:t>Among them is he who says: give me leave and do not tempt me. In the fitna they have fallen. Hell encompasses the unbelievers. If good meets you it vexes them. If a hit meets you they say: we took our matter before, and they turn away rejoicing. Say: nothing meets us except what God wrote for us. He is our mawlā. On God let the believers rely. Say: do you await for us except one of the two best things? We await for you that God will hit you with a punishment from Him or by our hands. So wait. We are waiting with you.</w:t>
      </w:r>
    </w:p>
    <w:p>
      <w:pPr>
        <w:pStyle w:val="Heading1"/>
      </w:pPr>
      <w:r>
        <w:rPr>
          <w:rFonts w:ascii="Calibri" w:hAnsi="Calibri"/>
          <w:color w:val="1B3A4B"/>
        </w:rPr>
        <w:t>2. Structure</w:t>
      </w:r>
    </w:p>
    <w:p>
      <w:pPr>
        <w:spacing w:after="160"/>
      </w:pPr>
      <w:r>
        <w:rPr>
          <w:rFonts w:ascii="Calibri" w:hAnsi="Calibri" w:eastAsia="Calibri"/>
          <w:b w:val="0"/>
          <w:i w:val="0"/>
          <w:color w:val="222222"/>
          <w:sz w:val="22"/>
        </w:rPr>
        <w:t>38–39 cling to earth; go forth or be replaced. 40 cave: the second of two; sakina; unseen forces; God’s word highest. 41 go light and heavy; property and lives. 42 far journey; they swear. 43–45 pardon you for giving leave; believers do not ask leave; doubters do. 46–48 God made them lag; they would have been ruin and fitna. 49–52 ‘do not tempt me’; good vexes them; two best things.</w:t>
      </w:r>
    </w:p>
    <w:p>
      <w:pPr>
        <w:pStyle w:val="Heading1"/>
      </w:pPr>
      <w:r>
        <w:rPr>
          <w:rFonts w:ascii="Calibri" w:hAnsi="Calibri"/>
          <w:color w:val="1B3A4B"/>
        </w:rPr>
        <w:t>3. Investigation</w:t>
      </w:r>
    </w:p>
    <w:p>
      <w:pPr>
        <w:pStyle w:val="Heading2"/>
      </w:pPr>
      <w:r>
        <w:rPr>
          <w:rFonts w:ascii="Calibri" w:hAnsi="Calibri"/>
          <w:color w:val="1B3A4B"/>
        </w:rPr>
        <w:t>9:38–39 go forth or be replaced</w:t>
      </w:r>
    </w:p>
    <w:p>
      <w:pPr>
        <w:spacing w:after="160"/>
      </w:pPr>
      <w:r>
        <w:rPr>
          <w:rFonts w:ascii="Calibri" w:hAnsi="Calibri" w:eastAsia="Calibri"/>
          <w:b w:val="0"/>
          <w:i w:val="0"/>
          <w:color w:val="222222"/>
          <w:sz w:val="22"/>
        </w:rPr>
        <w:t>Told to go forth in God’s path, they cling to the earth. This world’s enjoyment is little in the last. If you do not go: painful punishment, replacement by another people. The command is mobilization, not a proverb.</w:t>
      </w:r>
    </w:p>
    <w:p>
      <w:pPr>
        <w:pStyle w:val="Heading2"/>
      </w:pPr>
      <w:r>
        <w:rPr>
          <w:rFonts w:ascii="Calibri" w:hAnsi="Calibri"/>
          <w:color w:val="1B3A4B"/>
        </w:rPr>
        <w:t>9:40 the cave</w:t>
      </w:r>
    </w:p>
    <w:p>
      <w:pPr>
        <w:spacing w:after="160"/>
      </w:pPr>
      <w:r>
        <w:rPr>
          <w:rFonts w:ascii="Calibri" w:hAnsi="Calibri" w:eastAsia="Calibri"/>
          <w:b w:val="0"/>
          <w:i w:val="0"/>
          <w:color w:val="222222"/>
          <w:sz w:val="22"/>
        </w:rPr>
        <w:t>If you do not help him — God already helped him when they expelled him, the second of two, in the cave: do not grieve, God is with us. Sakīna on him; unseen forces; the unbelievers’ word made lowest; God’s word highest. Traditional hijra-cave with Abū Bakr. Level 1: a second person, a cave, grief forbidden, God with ‘us.’ The companion is not named.</w:t>
      </w:r>
    </w:p>
    <w:p>
      <w:pPr>
        <w:pStyle w:val="Heading2"/>
      </w:pPr>
      <w:r>
        <w:rPr>
          <w:rFonts w:ascii="Calibri" w:hAnsi="Calibri"/>
          <w:color w:val="1B3A4B"/>
        </w:rPr>
        <w:t>9:41–48 leave and lag</w:t>
      </w:r>
    </w:p>
    <w:p>
      <w:pPr>
        <w:spacing w:after="160"/>
      </w:pPr>
      <w:r>
        <w:rPr>
          <w:rFonts w:ascii="Calibri" w:hAnsi="Calibri" w:eastAsia="Calibri"/>
          <w:b w:val="0"/>
          <w:i w:val="0"/>
          <w:color w:val="222222"/>
          <w:sz w:val="22"/>
        </w:rPr>
        <w:t>Go light and heavy (young/old, armed/unarmed — later glosses; Arabic is light and heavy). Strive with property and lives. Near gain they would have followed; the distance was far. They swear they would have gone. God pardon you — why give them leave before the truthful and the liars were clear? Believers do not ask leave to strive. Doubters do. God disliked their going, made them lag: sit with the sitters. Had they gone they would have been ruin and fitna. Listeners to them are among you.</w:t>
      </w:r>
    </w:p>
    <w:p>
      <w:pPr>
        <w:pStyle w:val="Heading2"/>
      </w:pPr>
      <w:r>
        <w:rPr>
          <w:rFonts w:ascii="Calibri" w:hAnsi="Calibri"/>
          <w:color w:val="1B3A4B"/>
        </w:rPr>
        <w:t>9:49–52 two best things</w:t>
      </w:r>
    </w:p>
    <w:p>
      <w:pPr>
        <w:spacing w:after="160"/>
      </w:pPr>
      <w:r>
        <w:rPr>
          <w:rFonts w:ascii="Calibri" w:hAnsi="Calibri" w:eastAsia="Calibri"/>
          <w:b w:val="0"/>
          <w:i w:val="0"/>
          <w:color w:val="222222"/>
          <w:sz w:val="22"/>
        </w:rPr>
        <w:t>Give me leave, do not tempt me (fitna). They have already fallen into it. Good that meets you vexes them; a hit and they say we took our affair beforehand. Nothing meets us except what God wrote. Two best things await us (later: victory or martyrdom). We await for you a punishment from Him or by our hands.</w:t>
      </w:r>
    </w:p>
    <w:p>
      <w:pPr>
        <w:pStyle w:val="Heading1"/>
      </w:pPr>
      <w:r>
        <w:rPr>
          <w:rFonts w:ascii="Calibri" w:hAnsi="Calibri"/>
          <w:color w:val="1B3A4B"/>
        </w:rPr>
        <w:t>4. Lemmas</w:t>
      </w:r>
    </w:p>
    <w:p>
      <w:pPr>
        <w:spacing w:after="160"/>
      </w:pPr>
      <w:r>
        <w:rPr>
          <w:rFonts w:ascii="Calibri" w:hAnsi="Calibri" w:eastAsia="Calibri"/>
          <w:b w:val="0"/>
          <w:i w:val="0"/>
          <w:color w:val="222222"/>
          <w:sz w:val="22"/>
        </w:rPr>
        <w:t>infirū. iththāqaltum ilā l-arḍ. thaniya ithnayn. al-ghār. lā taḥzan. khifāfan wa-thiqālan. ʿadhara. qʿudū maʿa l-qāʿidīn. iḥdā l-ḥusnayayn.</w:t>
      </w:r>
    </w:p>
    <w:p>
      <w:pPr>
        <w:pStyle w:val="Heading1"/>
      </w:pPr>
      <w:r>
        <w:rPr>
          <w:rFonts w:ascii="Calibri" w:hAnsi="Calibri"/>
          <w:color w:val="1B3A4B"/>
        </w:rPr>
        <w:t>5. Translation Analysis (core five)</w:t>
      </w:r>
    </w:p>
    <w:tbl>
      <w:tblPr>
        <w:tblStyle w:val="TableGrid"/>
        <w:tblW w:type="auto" w:w="0"/>
        <w:tblLook w:firstColumn="1" w:firstRow="1" w:lastColumn="0" w:lastRow="0" w:noHBand="0" w:noVBand="1" w:val="04A0"/>
      </w:tblPr>
      <w:tblGrid>
        <w:gridCol w:w="3264"/>
        <w:gridCol w:w="3264"/>
        <w:gridCol w:w="3264"/>
      </w:tblGrid>
      <w:tr>
        <w:tc>
          <w:tcPr>
            <w:tcW w:type="dxa" w:w="3264"/>
            <w:shd w:fill="1B3A4B" w:val="clear"/>
          </w:tcPr>
          <w:p>
            <w:r/>
            <w:r>
              <w:rPr>
                <w:rFonts w:ascii="Calibri" w:hAnsi="Calibri" w:eastAsia="Calibri"/>
                <w:b/>
                <w:i w:val="0"/>
                <w:color w:val="FFFFFF"/>
                <w:sz w:val="18"/>
              </w:rPr>
              <w:t>Locus</w:t>
            </w:r>
          </w:p>
        </w:tc>
        <w:tc>
          <w:tcPr>
            <w:tcW w:type="dxa" w:w="3264"/>
            <w:shd w:fill="1B3A4B" w:val="clear"/>
          </w:tcPr>
          <w:p>
            <w:r/>
            <w:r>
              <w:rPr>
                <w:rFonts w:ascii="Calibri" w:hAnsi="Calibri" w:eastAsia="Calibri"/>
                <w:b/>
                <w:i w:val="0"/>
                <w:color w:val="FFFFFF"/>
                <w:sz w:val="18"/>
              </w:rPr>
              <w:t>Split among core five</w:t>
            </w:r>
          </w:p>
        </w:tc>
        <w:tc>
          <w:tcPr>
            <w:tcW w:type="dxa" w:w="3264"/>
            <w:shd w:fill="1B3A4B" w:val="clear"/>
          </w:tcPr>
          <w:p>
            <w:r/>
            <w:r>
              <w:rPr>
                <w:rFonts w:ascii="Calibri" w:hAnsi="Calibri" w:eastAsia="Calibri"/>
                <w:b/>
                <w:i w:val="0"/>
                <w:color w:val="FFFFFF"/>
                <w:sz w:val="18"/>
              </w:rPr>
              <w:t>Return to Arabic</w:t>
            </w:r>
          </w:p>
        </w:tc>
      </w:tr>
      <w:tr>
        <w:tc>
          <w:tcPr>
            <w:tcW w:type="dxa" w:w="3264"/>
          </w:tcPr>
          <w:p>
            <w:r/>
            <w:r>
              <w:rPr>
                <w:rFonts w:ascii="Calibri" w:hAnsi="Calibri" w:eastAsia="Calibri"/>
                <w:b w:val="0"/>
                <w:i w:val="0"/>
                <w:color w:val="222222"/>
                <w:sz w:val="18"/>
              </w:rPr>
              <w:t>9:38 iththaqaltum ila l-ard</w:t>
            </w:r>
          </w:p>
        </w:tc>
        <w:tc>
          <w:tcPr>
            <w:tcW w:type="dxa" w:w="3264"/>
          </w:tcPr>
          <w:p>
            <w:r/>
            <w:r>
              <w:rPr>
                <w:rFonts w:ascii="Calibri" w:hAnsi="Calibri" w:eastAsia="Calibri"/>
                <w:b w:val="0"/>
                <w:i w:val="0"/>
                <w:color w:val="222222"/>
                <w:sz w:val="18"/>
              </w:rPr>
              <w:t>SI: cling heavily to the earth. Haleem: cling heavily to the ground. Pickthall: cling to the earth. Arberry: sink down heavily to the ground.</w:t>
            </w:r>
          </w:p>
        </w:tc>
        <w:tc>
          <w:tcPr>
            <w:tcW w:type="dxa" w:w="3264"/>
          </w:tcPr>
          <w:p>
            <w:r/>
            <w:r>
              <w:rPr>
                <w:rFonts w:ascii="Calibri" w:hAnsi="Calibri" w:eastAsia="Calibri"/>
                <w:b w:val="0"/>
                <w:i w:val="0"/>
                <w:color w:val="222222"/>
                <w:sz w:val="18"/>
              </w:rPr>
              <w:t>Weight toward the ground. Mobilization-refusal.</w:t>
            </w:r>
          </w:p>
        </w:tc>
      </w:tr>
      <w:tr>
        <w:tc>
          <w:tcPr>
            <w:tcW w:type="dxa" w:w="3264"/>
            <w:shd w:fill="F4F1EA" w:val="clear"/>
          </w:tcPr>
          <w:p>
            <w:r/>
            <w:r>
              <w:rPr>
                <w:rFonts w:ascii="Calibri" w:hAnsi="Calibri" w:eastAsia="Calibri"/>
                <w:b w:val="0"/>
                <w:i w:val="0"/>
                <w:color w:val="222222"/>
                <w:sz w:val="18"/>
              </w:rPr>
              <w:t>9:40 thaniya ithnayn ... fi l-ghar</w:t>
            </w:r>
          </w:p>
        </w:tc>
        <w:tc>
          <w:tcPr>
            <w:tcW w:type="dxa" w:w="3264"/>
            <w:shd w:fill="F4F1EA" w:val="clear"/>
          </w:tcPr>
          <w:p>
            <w:r/>
            <w:r>
              <w:rPr>
                <w:rFonts w:ascii="Calibri" w:hAnsi="Calibri" w:eastAsia="Calibri"/>
                <w:b w:val="0"/>
                <w:i w:val="0"/>
                <w:color w:val="222222"/>
                <w:sz w:val="18"/>
              </w:rPr>
              <w:t>SI: the second of two when they were in the cave. Haleem: the second of two in the cave. Pickthall: the second of two; when they two were in the cave. Arberry: the second of two, when the two were in the cave.</w:t>
            </w:r>
          </w:p>
        </w:tc>
        <w:tc>
          <w:tcPr>
            <w:tcW w:type="dxa" w:w="3264"/>
            <w:shd w:fill="F4F1EA" w:val="clear"/>
          </w:tcPr>
          <w:p>
            <w:r/>
            <w:r>
              <w:rPr>
                <w:rFonts w:ascii="Calibri" w:hAnsi="Calibri" w:eastAsia="Calibri"/>
                <w:b w:val="0"/>
                <w:i w:val="0"/>
                <w:color w:val="222222"/>
                <w:sz w:val="18"/>
              </w:rPr>
              <w:t>Companion unnamed. Cave named.</w:t>
            </w:r>
          </w:p>
        </w:tc>
      </w:tr>
      <w:tr>
        <w:tc>
          <w:tcPr>
            <w:tcW w:type="dxa" w:w="3264"/>
          </w:tcPr>
          <w:p>
            <w:r/>
            <w:r>
              <w:rPr>
                <w:rFonts w:ascii="Calibri" w:hAnsi="Calibri" w:eastAsia="Calibri"/>
                <w:b w:val="0"/>
                <w:i w:val="0"/>
                <w:color w:val="222222"/>
                <w:sz w:val="18"/>
              </w:rPr>
              <w:t>9:41 khifafan wa-thiqalan</w:t>
            </w:r>
          </w:p>
        </w:tc>
        <w:tc>
          <w:tcPr>
            <w:tcW w:type="dxa" w:w="3264"/>
          </w:tcPr>
          <w:p>
            <w:r/>
            <w:r>
              <w:rPr>
                <w:rFonts w:ascii="Calibri" w:hAnsi="Calibri" w:eastAsia="Calibri"/>
                <w:b w:val="0"/>
                <w:i w:val="0"/>
                <w:color w:val="222222"/>
                <w:sz w:val="18"/>
              </w:rPr>
              <w:t>SI: light or heavy. Haleem: whether lightly or heavily armed. Pickthall: light-armed and heavy-armed. Arberry: light and heavy.</w:t>
            </w:r>
          </w:p>
        </w:tc>
        <w:tc>
          <w:tcPr>
            <w:tcW w:type="dxa" w:w="3264"/>
          </w:tcPr>
          <w:p>
            <w:r/>
            <w:r>
              <w:rPr>
                <w:rFonts w:ascii="Calibri" w:hAnsi="Calibri" w:eastAsia="Calibri"/>
                <w:b w:val="0"/>
                <w:i w:val="0"/>
                <w:color w:val="222222"/>
                <w:sz w:val="18"/>
              </w:rPr>
              <w:t>Haleem/Pickthall hear armament. SI/Arberry keep light/heavy.</w:t>
            </w:r>
          </w:p>
        </w:tc>
      </w:tr>
      <w:tr>
        <w:tc>
          <w:tcPr>
            <w:tcW w:type="dxa" w:w="3264"/>
            <w:shd w:fill="F4F1EA" w:val="clear"/>
          </w:tcPr>
          <w:p>
            <w:r/>
            <w:r>
              <w:rPr>
                <w:rFonts w:ascii="Calibri" w:hAnsi="Calibri" w:eastAsia="Calibri"/>
                <w:b w:val="0"/>
                <w:i w:val="0"/>
                <w:color w:val="222222"/>
                <w:sz w:val="18"/>
              </w:rPr>
              <w:t>9:43 'afa llahu 'anka</w:t>
            </w:r>
          </w:p>
        </w:tc>
        <w:tc>
          <w:tcPr>
            <w:tcW w:type="dxa" w:w="3264"/>
            <w:shd w:fill="F4F1EA" w:val="clear"/>
          </w:tcPr>
          <w:p>
            <w:r/>
            <w:r>
              <w:rPr>
                <w:rFonts w:ascii="Calibri" w:hAnsi="Calibri" w:eastAsia="Calibri"/>
                <w:b w:val="0"/>
                <w:i w:val="0"/>
                <w:color w:val="222222"/>
                <w:sz w:val="18"/>
              </w:rPr>
              <w:t>SI: May Allah pardon you. Haleem: God forgive you. Pickthall: Allah forgive thee. Arberry: God pardon thee.</w:t>
            </w:r>
          </w:p>
        </w:tc>
        <w:tc>
          <w:tcPr>
            <w:tcW w:type="dxa" w:w="3264"/>
            <w:shd w:fill="F4F1EA" w:val="clear"/>
          </w:tcPr>
          <w:p>
            <w:r/>
            <w:r>
              <w:rPr>
                <w:rFonts w:ascii="Calibri" w:hAnsi="Calibri" w:eastAsia="Calibri"/>
                <w:b w:val="0"/>
                <w:i w:val="0"/>
                <w:color w:val="222222"/>
                <w:sz w:val="18"/>
              </w:rPr>
              <w:t>Addressed to the Prophet for giving leave too soon.</w:t>
            </w:r>
          </w:p>
        </w:tc>
      </w:tr>
      <w:tr>
        <w:tc>
          <w:tcPr>
            <w:tcW w:type="dxa" w:w="3264"/>
          </w:tcPr>
          <w:p>
            <w:r/>
            <w:r>
              <w:rPr>
                <w:rFonts w:ascii="Calibri" w:hAnsi="Calibri" w:eastAsia="Calibri"/>
                <w:b w:val="0"/>
                <w:i w:val="0"/>
                <w:color w:val="222222"/>
                <w:sz w:val="18"/>
              </w:rPr>
              <w:t>9:52 ihda l-husnayn</w:t>
            </w:r>
          </w:p>
        </w:tc>
        <w:tc>
          <w:tcPr>
            <w:tcW w:type="dxa" w:w="3264"/>
          </w:tcPr>
          <w:p>
            <w:r/>
            <w:r>
              <w:rPr>
                <w:rFonts w:ascii="Calibri" w:hAnsi="Calibri" w:eastAsia="Calibri"/>
                <w:b w:val="0"/>
                <w:i w:val="0"/>
                <w:color w:val="222222"/>
                <w:sz w:val="18"/>
              </w:rPr>
              <w:t>SI: one of the two best things. Haleem: one of two excellent outcomes. Pickthall: one of two good things. Arberry: one of the two rewards most fair.</w:t>
            </w:r>
          </w:p>
        </w:tc>
        <w:tc>
          <w:tcPr>
            <w:tcW w:type="dxa" w:w="3264"/>
          </w:tcPr>
          <w:p>
            <w:r/>
            <w:r>
              <w:rPr>
                <w:rFonts w:ascii="Calibri" w:hAnsi="Calibri" w:eastAsia="Calibri"/>
                <w:b w:val="0"/>
                <w:i w:val="0"/>
                <w:color w:val="222222"/>
                <w:sz w:val="18"/>
              </w:rPr>
              <w:t>The two are not named in the verse. Later: victory or death in the path.</w:t>
            </w:r>
          </w:p>
        </w:tc>
      </w:tr>
    </w:tbl>
    <w:p/>
    <w:p>
      <w:pPr>
        <w:spacing w:after="160"/>
      </w:pPr>
      <w:r>
        <w:rPr>
          <w:rFonts w:ascii="Calibri" w:hAnsi="Calibri" w:eastAsia="Calibri"/>
          <w:b w:val="0"/>
          <w:i w:val="0"/>
          <w:color w:val="222222"/>
          <w:sz w:val="22"/>
        </w:rPr>
        <w:t>Yusuf Ali 9:40 line only: 'the second of two, when they two were in the cave.'</w:t>
      </w:r>
    </w:p>
    <w:p>
      <w:pPr>
        <w:pStyle w:val="Heading1"/>
      </w:pPr>
      <w:r>
        <w:rPr>
          <w:rFonts w:ascii="Calibri" w:hAnsi="Calibri"/>
          <w:color w:val="1B3A4B"/>
        </w:rPr>
        <w:t>6. Theological Findings</w:t>
      </w:r>
    </w:p>
    <w:p>
      <w:pPr>
        <w:spacing w:after="160"/>
      </w:pPr>
      <w:r>
        <w:rPr>
          <w:rFonts w:ascii="Calibri" w:hAnsi="Calibri" w:eastAsia="Calibri"/>
          <w:b w:val="0"/>
          <w:i w:val="0"/>
          <w:color w:val="222222"/>
          <w:sz w:val="22"/>
        </w:rPr>
        <w:t>Refusal to go forth is clinging to the earth and risks replacement. Help of the Messenger is not required for God to have already helped him — cave, sakīna, unseen forces, His word highest. Asking leave to stay is a mark of doubt, not of belief. Giving that leave too soon is pardoned and still corrected. Fitna-seekers among the stay-behinds would have been ruin inside the column. What meets the believers is only what was written; they await one of two goods; the other side awaits a blow from God or from their hands.</w:t>
      </w:r>
    </w:p>
    <w:p>
      <w:pPr>
        <w:pStyle w:val="Heading1"/>
      </w:pPr>
      <w:r>
        <w:rPr>
          <w:rFonts w:ascii="Calibri" w:hAnsi="Calibri"/>
          <w:color w:val="1B3A4B"/>
        </w:rPr>
        <w:t>7–9. Cross / QB</w:t>
      </w:r>
    </w:p>
    <w:p>
      <w:pPr>
        <w:spacing w:after="160"/>
      </w:pPr>
      <w:r>
        <w:rPr>
          <w:rFonts w:ascii="Calibri" w:hAnsi="Calibri" w:eastAsia="Calibri"/>
          <w:b w:val="0"/>
          <w:i w:val="0"/>
          <w:color w:val="222222"/>
          <w:sz w:val="22"/>
        </w:rPr>
        <w:t>8:30 plot to expel. 9:13 intended to expel. 9:26 sakīna at Ḥunayn. Cave-help has no Torah twin. QB-0258 cave-help as hijra-memory (companion unnamed). QB-0259 replacement-threat if they will not go forth.</w:t>
      </w:r>
    </w:p>
    <w:p>
      <w:pPr>
        <w:pStyle w:val="Heading1"/>
      </w:pPr>
      <w:r>
        <w:rPr>
          <w:rFonts w:ascii="Calibri" w:hAnsi="Calibri"/>
          <w:color w:val="1B3A4B"/>
        </w:rPr>
        <w:t>13–16. IDs</w:t>
      </w:r>
    </w:p>
    <w:tbl>
      <w:tblPr>
        <w:tblStyle w:val="TableGrid"/>
        <w:tblW w:type="auto" w:w="0"/>
        <w:tblLook w:firstColumn="1" w:firstRow="1" w:lastColumn="0" w:lastRow="0" w:noHBand="0" w:noVBand="1" w:val="04A0"/>
      </w:tblPr>
      <w:tblGrid>
        <w:gridCol w:w="4896"/>
        <w:gridCol w:w="4896"/>
      </w:tblGrid>
      <w:tr>
        <w:tc>
          <w:tcPr>
            <w:tcW w:type="dxa" w:w="4896"/>
            <w:shd w:fill="1B3A4B" w:val="clear"/>
          </w:tcPr>
          <w:p>
            <w:r/>
            <w:r>
              <w:rPr>
                <w:rFonts w:ascii="Calibri" w:hAnsi="Calibri" w:eastAsia="Calibri"/>
                <w:b/>
                <w:i w:val="0"/>
                <w:color w:val="FFFFFF"/>
                <w:sz w:val="18"/>
              </w:rPr>
              <w:t>ID</w:t>
            </w:r>
          </w:p>
        </w:tc>
        <w:tc>
          <w:tcPr>
            <w:tcW w:type="dxa" w:w="4896"/>
            <w:shd w:fill="1B3A4B" w:val="clear"/>
          </w:tcPr>
          <w:p>
            <w:r/>
            <w:r>
              <w:rPr>
                <w:rFonts w:ascii="Calibri" w:hAnsi="Calibri" w:eastAsia="Calibri"/>
                <w:b/>
                <w:i w:val="0"/>
                <w:color w:val="FFFFFF"/>
                <w:sz w:val="18"/>
              </w:rPr>
              <w:t>Title</w:t>
            </w:r>
          </w:p>
        </w:tc>
      </w:tr>
      <w:tr>
        <w:tc>
          <w:tcPr>
            <w:tcW w:type="dxa" w:w="4896"/>
          </w:tcPr>
          <w:p>
            <w:r/>
            <w:r>
              <w:rPr>
                <w:rFonts w:ascii="Calibri" w:hAnsi="Calibri" w:eastAsia="Calibri"/>
                <w:b w:val="0"/>
                <w:i w:val="0"/>
                <w:color w:val="222222"/>
                <w:sz w:val="18"/>
              </w:rPr>
              <w:t>QDISC-0446</w:t>
            </w:r>
          </w:p>
        </w:tc>
        <w:tc>
          <w:tcPr>
            <w:tcW w:type="dxa" w:w="4896"/>
          </w:tcPr>
          <w:p>
            <w:r/>
            <w:r>
              <w:rPr>
                <w:rFonts w:ascii="Calibri" w:hAnsi="Calibri" w:eastAsia="Calibri"/>
                <w:b w:val="0"/>
                <w:i w:val="0"/>
                <w:color w:val="222222"/>
                <w:sz w:val="18"/>
              </w:rPr>
              <w:t>Go forth; clinging to earth; replaced if you do not</w:t>
            </w:r>
          </w:p>
        </w:tc>
      </w:tr>
      <w:tr>
        <w:tc>
          <w:tcPr>
            <w:tcW w:type="dxa" w:w="4896"/>
            <w:shd w:fill="F4F1EA" w:val="clear"/>
          </w:tcPr>
          <w:p>
            <w:r/>
            <w:r>
              <w:rPr>
                <w:rFonts w:ascii="Calibri" w:hAnsi="Calibri" w:eastAsia="Calibri"/>
                <w:b w:val="0"/>
                <w:i w:val="0"/>
                <w:color w:val="222222"/>
                <w:sz w:val="18"/>
              </w:rPr>
              <w:t>QDISC-0447</w:t>
            </w:r>
          </w:p>
        </w:tc>
        <w:tc>
          <w:tcPr>
            <w:tcW w:type="dxa" w:w="4896"/>
            <w:shd w:fill="F4F1EA" w:val="clear"/>
          </w:tcPr>
          <w:p>
            <w:r/>
            <w:r>
              <w:rPr>
                <w:rFonts w:ascii="Calibri" w:hAnsi="Calibri" w:eastAsia="Calibri"/>
                <w:b w:val="0"/>
                <w:i w:val="0"/>
                <w:color w:val="222222"/>
                <w:sz w:val="18"/>
              </w:rPr>
              <w:t>Cave: second of two; do not grieve; sakina; God's word highest</w:t>
            </w:r>
          </w:p>
        </w:tc>
      </w:tr>
      <w:tr>
        <w:tc>
          <w:tcPr>
            <w:tcW w:type="dxa" w:w="4896"/>
          </w:tcPr>
          <w:p>
            <w:r/>
            <w:r>
              <w:rPr>
                <w:rFonts w:ascii="Calibri" w:hAnsi="Calibri" w:eastAsia="Calibri"/>
                <w:b w:val="0"/>
                <w:i w:val="0"/>
                <w:color w:val="222222"/>
                <w:sz w:val="18"/>
              </w:rPr>
              <w:t>QDISC-0448</w:t>
            </w:r>
          </w:p>
        </w:tc>
        <w:tc>
          <w:tcPr>
            <w:tcW w:type="dxa" w:w="4896"/>
          </w:tcPr>
          <w:p>
            <w:r/>
            <w:r>
              <w:rPr>
                <w:rFonts w:ascii="Calibri" w:hAnsi="Calibri" w:eastAsia="Calibri"/>
                <w:b w:val="0"/>
                <w:i w:val="0"/>
                <w:color w:val="222222"/>
                <w:sz w:val="18"/>
              </w:rPr>
              <w:t>Go light and heavy; strive with property and lives</w:t>
            </w:r>
          </w:p>
        </w:tc>
      </w:tr>
      <w:tr>
        <w:tc>
          <w:tcPr>
            <w:tcW w:type="dxa" w:w="4896"/>
            <w:shd w:fill="F4F1EA" w:val="clear"/>
          </w:tcPr>
          <w:p>
            <w:r/>
            <w:r>
              <w:rPr>
                <w:rFonts w:ascii="Calibri" w:hAnsi="Calibri" w:eastAsia="Calibri"/>
                <w:b w:val="0"/>
                <w:i w:val="0"/>
                <w:color w:val="222222"/>
                <w:sz w:val="18"/>
              </w:rPr>
              <w:t>QDISC-0449</w:t>
            </w:r>
          </w:p>
        </w:tc>
        <w:tc>
          <w:tcPr>
            <w:tcW w:type="dxa" w:w="4896"/>
            <w:shd w:fill="F4F1EA" w:val="clear"/>
          </w:tcPr>
          <w:p>
            <w:r/>
            <w:r>
              <w:rPr>
                <w:rFonts w:ascii="Calibri" w:hAnsi="Calibri" w:eastAsia="Calibri"/>
                <w:b w:val="0"/>
                <w:i w:val="0"/>
                <w:color w:val="222222"/>
                <w:sz w:val="18"/>
              </w:rPr>
              <w:t>Pardon for giving leave too soon; believers do not ask leave</w:t>
            </w:r>
          </w:p>
        </w:tc>
      </w:tr>
      <w:tr>
        <w:tc>
          <w:tcPr>
            <w:tcW w:type="dxa" w:w="4896"/>
          </w:tcPr>
          <w:p>
            <w:r/>
            <w:r>
              <w:rPr>
                <w:rFonts w:ascii="Calibri" w:hAnsi="Calibri" w:eastAsia="Calibri"/>
                <w:b w:val="0"/>
                <w:i w:val="0"/>
                <w:color w:val="222222"/>
                <w:sz w:val="18"/>
              </w:rPr>
              <w:t>QDISC-0450</w:t>
            </w:r>
          </w:p>
        </w:tc>
        <w:tc>
          <w:tcPr>
            <w:tcW w:type="dxa" w:w="4896"/>
          </w:tcPr>
          <w:p>
            <w:r/>
            <w:r>
              <w:rPr>
                <w:rFonts w:ascii="Calibri" w:hAnsi="Calibri" w:eastAsia="Calibri"/>
                <w:b w:val="0"/>
                <w:i w:val="0"/>
                <w:color w:val="222222"/>
                <w:sz w:val="18"/>
              </w:rPr>
              <w:t>God made the doubtful lag; they would have been fitna inside</w:t>
            </w:r>
          </w:p>
        </w:tc>
      </w:tr>
      <w:tr>
        <w:tc>
          <w:tcPr>
            <w:tcW w:type="dxa" w:w="4896"/>
            <w:shd w:fill="F4F1EA" w:val="clear"/>
          </w:tcPr>
          <w:p>
            <w:r/>
            <w:r>
              <w:rPr>
                <w:rFonts w:ascii="Calibri" w:hAnsi="Calibri" w:eastAsia="Calibri"/>
                <w:b w:val="0"/>
                <w:i w:val="0"/>
                <w:color w:val="222222"/>
                <w:sz w:val="18"/>
              </w:rPr>
              <w:t>QDISC-0451</w:t>
            </w:r>
          </w:p>
        </w:tc>
        <w:tc>
          <w:tcPr>
            <w:tcW w:type="dxa" w:w="4896"/>
            <w:shd w:fill="F4F1EA" w:val="clear"/>
          </w:tcPr>
          <w:p>
            <w:r/>
            <w:r>
              <w:rPr>
                <w:rFonts w:ascii="Calibri" w:hAnsi="Calibri" w:eastAsia="Calibri"/>
                <w:b w:val="0"/>
                <w:i w:val="0"/>
                <w:color w:val="222222"/>
                <w:sz w:val="18"/>
              </w:rPr>
              <w:t>Two best things for us; a blow from Him or our hands for you</w:t>
            </w:r>
          </w:p>
        </w:tc>
      </w:tr>
      <w:tr>
        <w:tc>
          <w:tcPr>
            <w:tcW w:type="dxa" w:w="4896"/>
          </w:tcPr>
          <w:p>
            <w:r/>
            <w:r>
              <w:rPr>
                <w:rFonts w:ascii="Calibri" w:hAnsi="Calibri" w:eastAsia="Calibri"/>
                <w:b w:val="0"/>
                <w:i w:val="0"/>
                <w:color w:val="222222"/>
                <w:sz w:val="18"/>
              </w:rPr>
              <w:t>QB-0258</w:t>
            </w:r>
          </w:p>
        </w:tc>
        <w:tc>
          <w:tcPr>
            <w:tcW w:type="dxa" w:w="4896"/>
          </w:tcPr>
          <w:p>
            <w:r/>
            <w:r>
              <w:rPr>
                <w:rFonts w:ascii="Calibri" w:hAnsi="Calibri" w:eastAsia="Calibri"/>
                <w:b w:val="0"/>
                <w:i w:val="0"/>
                <w:color w:val="222222"/>
                <w:sz w:val="18"/>
              </w:rPr>
              <w:t>Cave-help; companion unnamed</w:t>
            </w:r>
          </w:p>
        </w:tc>
      </w:tr>
      <w:tr>
        <w:tc>
          <w:tcPr>
            <w:tcW w:type="dxa" w:w="4896"/>
            <w:shd w:fill="F4F1EA" w:val="clear"/>
          </w:tcPr>
          <w:p>
            <w:r/>
            <w:r>
              <w:rPr>
                <w:rFonts w:ascii="Calibri" w:hAnsi="Calibri" w:eastAsia="Calibri"/>
                <w:b w:val="0"/>
                <w:i w:val="0"/>
                <w:color w:val="222222"/>
                <w:sz w:val="18"/>
              </w:rPr>
              <w:t>QB-0259</w:t>
            </w:r>
          </w:p>
        </w:tc>
        <w:tc>
          <w:tcPr>
            <w:tcW w:type="dxa" w:w="4896"/>
            <w:shd w:fill="F4F1EA" w:val="clear"/>
          </w:tcPr>
          <w:p>
            <w:r/>
            <w:r>
              <w:rPr>
                <w:rFonts w:ascii="Calibri" w:hAnsi="Calibri" w:eastAsia="Calibri"/>
                <w:b w:val="0"/>
                <w:i w:val="0"/>
                <w:color w:val="222222"/>
                <w:sz w:val="18"/>
              </w:rPr>
              <w:t>Replacement if they will not mobilize</w:t>
            </w:r>
          </w:p>
        </w:tc>
      </w:tr>
    </w:tbl>
    <w:p/>
    <w:p>
      <w:pPr>
        <w:pStyle w:val="Heading1"/>
      </w:pPr>
      <w:r>
        <w:rPr>
          <w:rFonts w:ascii="Calibri" w:hAnsi="Calibri"/>
          <w:color w:val="1B3A4B"/>
        </w:rPr>
        <w:t>21–22. Next</w:t>
      </w:r>
    </w:p>
    <w:p>
      <w:pPr>
        <w:spacing w:after="160"/>
      </w:pPr>
      <w:r>
        <w:rPr>
          <w:rFonts w:ascii="Calibri" w:hAnsi="Calibri" w:eastAsia="Calibri"/>
          <w:b w:val="0"/>
          <w:i w:val="0"/>
          <w:color w:val="222222"/>
          <w:sz w:val="22"/>
        </w:rPr>
        <w:t>9:53–74 — spend, hypocrites’ mockery of ṣadaqāt, they are the enemy, promise of Fire.</w:t>
      </w:r>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rFonts w:ascii="Calibri" w:hAnsi="Calibri" w:eastAsia="Calibri"/>
        <w:b w:val="0"/>
        <w:i w:val="0"/>
        <w:color w:val="8A6D3B"/>
        <w:sz w:val="18"/>
      </w:rPr>
      <w:t xml:space="preserve">LibreOffice OOXML  ·  core five  ·  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
      <w:rPr>
        <w:rFonts w:ascii="Calibri" w:hAnsi="Calibri" w:eastAsia="Calibri"/>
        <w:b w:val="0"/>
        <w:i/>
        <w:color w:val="8A6D3B"/>
        <w:sz w:val="18"/>
      </w:rPr>
      <w:t>Quran Research Project  ·  FROZEN v1.0  ·  S009 CP04 vv038-052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S009 CP04 vv038-052</dc:title>
  <dc:subject/>
  <dc:creator>Quran Research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