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392A4" w14:textId="77777777" w:rsidR="00CB442F" w:rsidRPr="00CB442F" w:rsidRDefault="00CB442F" w:rsidP="00CB442F">
      <w:pPr>
        <w:rPr>
          <w:rFonts w:ascii="Cambria Math" w:eastAsiaTheme="minorEastAsia" w:hAnsi="Cambria Math"/>
          <w:oMath/>
        </w:rPr>
      </w:pPr>
    </w:p>
    <w:p w14:paraId="07BD9EFC" w14:textId="43C164EA" w:rsidR="00CB442F" w:rsidRPr="005F0FC7" w:rsidRDefault="00CB442F" w:rsidP="00CB442F">
      <w:pPr>
        <w:pStyle w:val="Title"/>
        <w:rPr>
          <w:rFonts w:ascii="Arial" w:eastAsiaTheme="minorEastAsia" w:hAnsi="Arial" w:cs="Arial"/>
          <w:sz w:val="20"/>
          <w:szCs w:val="20"/>
        </w:rPr>
      </w:pPr>
      <m:oMath>
        <m:r>
          <w:rPr>
            <w:rFonts w:ascii="Cambria Math" w:eastAsiaTheme="minorEastAsia" w:hAnsi="Cambria Math" w:cs="Arial"/>
            <w:sz w:val="20"/>
            <w:szCs w:val="20"/>
          </w:rPr>
          <m:t>Variables</m:t>
        </m:r>
        <m:r>
          <m:rPr>
            <m:sty m:val="p"/>
          </m:rP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Arial"/>
            <w:sz w:val="20"/>
            <w:szCs w:val="20"/>
          </w:rPr>
          <m:t>Declaration</m:t>
        </m:r>
      </m:oMath>
      <w:r w:rsidRPr="005F0FC7">
        <w:rPr>
          <w:rFonts w:ascii="Arial" w:eastAsiaTheme="minorEastAsia" w:hAnsi="Arial" w:cs="Arial"/>
          <w:sz w:val="20"/>
          <w:szCs w:val="20"/>
        </w:rPr>
        <w:t xml:space="preserve"> </w:t>
      </w:r>
    </w:p>
    <w:p w14:paraId="1088D156" w14:textId="27E1903E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Sensitivity of a data field.</m:t>
          </m:r>
        </m:oMath>
      </m:oMathPara>
    </w:p>
    <w:p w14:paraId="6BD39506" w14:textId="080EFD7F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Flow risk score.</m:t>
          </m:r>
        </m:oMath>
      </m:oMathPara>
    </w:p>
    <w:p w14:paraId="2F08FDA5" w14:textId="3E4B172B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External context risk score.</m:t>
          </m:r>
        </m:oMath>
      </m:oMathPara>
    </w:p>
    <w:p w14:paraId="06F75D2A" w14:textId="240BE759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Encryption strength required for the data field.</m:t>
          </m:r>
        </m:oMath>
      </m:oMathPara>
    </w:p>
    <w:p w14:paraId="5ABDCCE7" w14:textId="29A5A149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Key management complexity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key rotation frequency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3E6AA00C" w14:textId="0F3FF9C6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Source risk, with values ranging from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low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3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high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1B8AB5F1" w14:textId="25543243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Destination risk, with values ranging from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low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3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high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3372A044" w14:textId="524EDFBA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Network condition risk, with values ranging from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secure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3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insecure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4F7B0FA4" w14:textId="34FD67F1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Geographic location risk, ranging from 0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low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2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high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3F13F699" w14:textId="4D0EAF35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Time of access risk, ranging from 0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low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moderate risk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7BE81442" w14:textId="29DD1A23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: User role risk, ranging from 0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normal user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to 1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admin user</m:t>
              </m:r>
            </m:e>
          </m:d>
          <m:r>
            <w:rPr>
              <w:rFonts w:ascii="Cambria Math" w:eastAsiaTheme="minorEastAsia" w:hAnsi="Cambria Math" w:cs="Arial"/>
              <w:sz w:val="20"/>
              <w:szCs w:val="20"/>
            </w:rPr>
            <m:t>.</m:t>
          </m:r>
        </m:oMath>
      </m:oMathPara>
    </w:p>
    <w:p w14:paraId="115E2F86" w14:textId="00C7C9A6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α, β, γ, δ, ϵ, \zeta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Weight factors for tuning the influence of the respective risks.</m:t>
          </m:r>
        </m:oMath>
      </m:oMathPara>
    </w:p>
    <w:p w14:paraId="6551F1C8" w14:textId="5CA5EA78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total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: Composite risk score combining flow and context risks.</m:t>
          </m:r>
        </m:oMath>
      </m:oMathPara>
    </w:p>
    <w:p w14:paraId="13B57826" w14:textId="5A4FFAF3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-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k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: Constant determining the key rotation frequency.</m:t>
          </m:r>
        </m:oMath>
      </m:oMathPara>
    </w:p>
    <w:p w14:paraId="33CF1243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521363CA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4CE826C8" w14:textId="06BAE230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1: Sensitivity Classification</m:t>
          </m:r>
        </m:oMath>
      </m:oMathPara>
    </w:p>
    <w:p w14:paraId="01249DCD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74C67E76" w14:textId="12734313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sensitivity of a data field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, is defined as:</m:t>
          </m:r>
        </m:oMath>
      </m:oMathPara>
    </w:p>
    <w:p w14:paraId="72AEB5FA" w14:textId="5781B831" w:rsidR="005F0FC7" w:rsidRPr="005F0FC7" w:rsidRDefault="005F0FC7" w:rsidP="005F0FC7">
      <w:pPr>
        <w:rPr>
          <w:rStyle w:val="vlist-s"/>
          <w:rFonts w:eastAsiaTheme="minorEastAsia"/>
        </w:rPr>
      </w:pPr>
      <w:r>
        <w:rPr>
          <w:rStyle w:val="vlist-s"/>
        </w:rPr>
        <w:t xml:space="preserve">                            </w:t>
      </w:r>
      <w:r>
        <w:rPr>
          <w:rStyle w:val="vlist-s"/>
        </w:rPr>
        <w:t>​</w:t>
      </w:r>
      <m:oMath>
        <m:r>
          <w:rPr>
            <w:rStyle w:val="vlist-s"/>
            <w:rFonts w:ascii="Cambria Math" w:hAnsi="Cambria Math"/>
          </w:rPr>
          <m:t xml:space="preserve">5 if the field is highly sensitive 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e.g. social security number, financial data</m:t>
            </m:r>
          </m:e>
        </m:d>
      </m:oMath>
    </w:p>
    <w:p w14:paraId="117F30D9" w14:textId="6055F913" w:rsidR="005F0FC7" w:rsidRPr="005F0FC7" w:rsidRDefault="005F0FC7" w:rsidP="005F0FC7">
      <w:pPr>
        <w:rPr>
          <w:rStyle w:val="vlist-s"/>
          <w:rFonts w:eastAsiaTheme="minorEastAsia"/>
        </w:rPr>
      </w:pPr>
      <w:r>
        <w:rPr>
          <w:rStyle w:val="vlist-s"/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 xml:space="preserve">                </m:t>
        </m:r>
        <m:r>
          <w:rPr>
            <w:rStyle w:val="vlist-s"/>
            <w:rFonts w:ascii="Cambria Math" w:hAnsi="Cambria Math"/>
          </w:rPr>
          <m:t xml:space="preserve">3 if the field has medium sensitivity </m:t>
        </m:r>
        <m:d>
          <m:dPr>
            <m:ctrlPr>
              <w:rPr>
                <w:rStyle w:val="vlist-s"/>
                <w:rFonts w:ascii="Cambria Math" w:hAnsi="Cambria Math"/>
                <w:i/>
              </w:rPr>
            </m:ctrlPr>
          </m:dPr>
          <m:e>
            <m:r>
              <w:rPr>
                <w:rStyle w:val="vlist-s"/>
                <w:rFonts w:ascii="Cambria Math" w:hAnsi="Cambria Math"/>
              </w:rPr>
              <m:t>e.g. phone number, email</m:t>
            </m:r>
          </m:e>
        </m:d>
      </m:oMath>
    </w:p>
    <w:p w14:paraId="710E8028" w14:textId="73013C9C" w:rsidR="005F0FC7" w:rsidRPr="005F0FC7" w:rsidRDefault="005F0FC7" w:rsidP="005F0FC7">
      <w:pPr>
        <w:rPr>
          <w:rFonts w:ascii="Cambria Math" w:hAnsi="Cambria Math"/>
          <w:oMath/>
        </w:rPr>
      </w:pPr>
      <m:oMathPara>
        <m:oMath>
          <m:r>
            <w:rPr>
              <w:rStyle w:val="vlist-s"/>
              <w:rFonts w:ascii="Cambria Math" w:hAnsi="Cambria Math"/>
            </w:rPr>
            <m:t xml:space="preserve">1 if the field has low sensitivity </m:t>
          </m:r>
          <m:d>
            <m:dPr>
              <m:ctrlPr>
                <w:rPr>
                  <w:rStyle w:val="vlist-s"/>
                  <w:rFonts w:ascii="Cambria Math" w:hAnsi="Cambria Math"/>
                  <w:i/>
                </w:rPr>
              </m:ctrlPr>
            </m:dPr>
            <m:e>
              <m:r>
                <w:rPr>
                  <w:rStyle w:val="vlist-s"/>
                  <w:rFonts w:ascii="Cambria Math" w:hAnsi="Cambria Math"/>
                </w:rPr>
                <m:t>e.g. username, generic data</m:t>
              </m:r>
            </m:e>
          </m:d>
        </m:oMath>
      </m:oMathPara>
    </w:p>
    <w:p w14:paraId="7DEE6F86" w14:textId="319660DB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3F395A65" w14:textId="1DCDA8F6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15DBE43D" w14:textId="3B86DD12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2: Flow Risk Assessment</m:t>
          </m:r>
        </m:oMath>
      </m:oMathPara>
    </w:p>
    <w:p w14:paraId="2FCFB9B9" w14:textId="419B7BC8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flow risk score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is calculated as:</m:t>
          </m:r>
        </m:oMath>
      </m:oMathPara>
    </w:p>
    <w:p w14:paraId="4F14C593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AB6D3E8" w14:textId="19EB6214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α⋅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 β⋅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 γ⋅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n</m:t>
              </m:r>
            </m:sub>
          </m:sSub>
        </m:oMath>
      </m:oMathPara>
    </w:p>
    <w:p w14:paraId="67F38C51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55AFFEF" w14:textId="28F2366E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3: External Context Risk Assessment</m:t>
          </m:r>
        </m:oMath>
      </m:oMathPara>
    </w:p>
    <w:p w14:paraId="5039C6D9" w14:textId="4CF8D6A8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external context risk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is computed by:</m:t>
          </m:r>
        </m:oMath>
      </m:oMathPara>
    </w:p>
    <w:p w14:paraId="685BE4AE" w14:textId="7530D51D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δ⋅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 ϵ⋅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+ ζ⋅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u</m:t>
              </m:r>
            </m:sub>
          </m:sSub>
        </m:oMath>
      </m:oMathPara>
    </w:p>
    <w:p w14:paraId="2508884F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706EF030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2E08EDF7" w14:textId="03C84D18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4: Composite Risk Score</m:t>
          </m:r>
        </m:oMath>
      </m:oMathPara>
    </w:p>
    <w:p w14:paraId="279DF06D" w14:textId="5464C13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total risk score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total</m:t>
                  </m:r>
                </m:e>
              </m:d>
              <m:r>
                <m:rPr>
                  <m:lit/>
                </m:rPr>
                <w:rPr>
                  <w:rFonts w:ascii="Cambria Math" w:eastAsiaTheme="minorEastAsia" w:hAnsi="Cambria Math" w:cs="Arial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combines the flow risk and external context risk:</m:t>
          </m:r>
        </m:oMath>
      </m:oMathPara>
    </w:p>
    <w:p w14:paraId="0E45047A" w14:textId="3695DBB1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8C96BE7" w14:textId="129B152C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total</m:t>
                  </m:r>
                </m:e>
              </m:d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sub>
          </m:sSub>
        </m:oMath>
      </m:oMathPara>
    </w:p>
    <w:p w14:paraId="7F97E90E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1D4ADCF" w14:textId="1B1215BE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5: Encryption Strength Selection</m:t>
          </m:r>
        </m:oMath>
      </m:oMathPara>
    </w:p>
    <w:p w14:paraId="7D1076E6" w14:textId="53D7A205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The encryption strength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required for the data field is determined by:</m:t>
          </m:r>
        </m:oMath>
      </m:oMathPara>
    </w:p>
    <w:p w14:paraId="788ACBF8" w14:textId="25C1C65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\log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total</m:t>
                      </m:r>
                    </m:e>
                  </m:d>
                </m:sub>
              </m:sSub>
            </m:e>
          </m:d>
        </m:oMath>
      </m:oMathPara>
    </w:p>
    <w:p w14:paraId="644D5EA9" w14:textId="253D00FD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Where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maps to specific encryption techniques:</m:t>
          </m:r>
        </m:oMath>
      </m:oMathPara>
    </w:p>
    <w:p w14:paraId="07355676" w14:textId="45A58851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AES-256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if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≥4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4429C60" w14:textId="36B9EED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AES-128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if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2 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&lt; 4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A75C87F" w14:textId="249B1C5F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RSA-2048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if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(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&lt; 2 </m:t>
          </m:r>
          <m:r>
            <m:rPr>
              <m:lit/>
            </m:rPr>
            <w:rPr>
              <w:rFonts w:ascii="Cambria Math" w:eastAsiaTheme="minorEastAsia" w:hAnsi="Cambria Math" w:cs="Arial"/>
              <w:sz w:val="20"/>
              <w:szCs w:val="20"/>
            </w:rPr>
            <m:t>)</m:t>
          </m:r>
        </m:oMath>
      </m:oMathPara>
    </w:p>
    <w:p w14:paraId="20F007FD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336F2C6F" w14:textId="6265D782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Step 6: Key Management Complexity</m:t>
          </m:r>
        </m:oMath>
      </m:oMathPara>
    </w:p>
    <w:p w14:paraId="1CA3AFB4" w14:textId="46A5E5F1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The key management complexity \( K_m \) is determined by:</m:t>
          </m:r>
        </m:oMath>
      </m:oMathPara>
    </w:p>
    <w:p w14:paraId="78C9299A" w14:textId="10FF7522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k ⋅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total</m:t>
                      </m:r>
                    </m:e>
                  </m:d>
                </m:sub>
              </m:sSub>
            </m:e>
          </m:d>
        </m:oMath>
      </m:oMathPara>
    </w:p>
    <w:p w14:paraId="5B846094" w14:textId="77777777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0079EAFB" w14:textId="16E1A06D" w:rsidR="00CB442F" w:rsidRPr="005F0FC7" w:rsidRDefault="00C464CD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20"/>
            </w:rPr>
            <m:t>Final Algorithm Representation</m:t>
          </m:r>
        </m:oMath>
      </m:oMathPara>
    </w:p>
    <w:p w14:paraId="6B8E71A7" w14:textId="22DD4D32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0"/>
              <w:szCs w:val="20"/>
            </w:rPr>
            <m:t>The final encryption selection formula is:</m:t>
          </m:r>
        </m:oMath>
      </m:oMathPara>
    </w:p>
    <w:p w14:paraId="3CBBFF4E" w14:textId="1C41CB9D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log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β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γ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δ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ϵ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+ ζ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</m:d>
        </m:oMath>
      </m:oMathPara>
    </w:p>
    <w:p w14:paraId="4D11E961" w14:textId="2E72D975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20"/>
            </w:rPr>
            <m:t>Where all variables are as defined above.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 w:cs="Arial"/>
              <w:sz w:val="20"/>
              <w:szCs w:val="20"/>
            </w:rPr>
            <m:t>Key management complexity is handled by:</m:t>
          </m:r>
        </m:oMath>
      </m:oMathPara>
    </w:p>
    <w:p w14:paraId="1A6D3A8C" w14:textId="158A6326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6B6BDCE1" w14:textId="5127B473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sz w:val="20"/>
              <w:szCs w:val="20"/>
            </w:rPr>
            <m:t>= k ⋅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total</m:t>
                      </m:r>
                    </m:e>
                  </m:d>
                </m:sub>
              </m:sSub>
            </m:e>
          </m:d>
        </m:oMath>
      </m:oMathPara>
    </w:p>
    <w:p w14:paraId="15036A68" w14:textId="73710019" w:rsidR="00CB442F" w:rsidRPr="005F0FC7" w:rsidRDefault="00CB442F" w:rsidP="00CB442F">
      <w:pPr>
        <w:rPr>
          <w:rFonts w:ascii="Cambria Math" w:eastAsiaTheme="minorEastAsia" w:hAnsi="Cambria Math" w:cs="Arial"/>
          <w:sz w:val="20"/>
          <w:szCs w:val="20"/>
          <w:oMath/>
        </w:rPr>
      </w:pPr>
    </w:p>
    <w:p w14:paraId="187D956B" w14:textId="2AF3ADEC" w:rsidR="000E7660" w:rsidRPr="00CB442F" w:rsidRDefault="000E7660" w:rsidP="00CB442F">
      <w:pPr>
        <w:rPr>
          <w:rFonts w:ascii="Cambria Math" w:hAnsi="Cambria Math"/>
          <w:oMath/>
        </w:rPr>
      </w:pPr>
    </w:p>
    <w:sectPr w:rsidR="000E7660" w:rsidRPr="00CB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C641C" w14:textId="77777777" w:rsidR="00845E2B" w:rsidRDefault="00845E2B" w:rsidP="00C464CD">
      <w:pPr>
        <w:spacing w:after="0" w:line="240" w:lineRule="auto"/>
      </w:pPr>
      <w:r>
        <w:separator/>
      </w:r>
    </w:p>
  </w:endnote>
  <w:endnote w:type="continuationSeparator" w:id="0">
    <w:p w14:paraId="70060EDD" w14:textId="77777777" w:rsidR="00845E2B" w:rsidRDefault="00845E2B" w:rsidP="00C4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C8CCC" w14:textId="77777777" w:rsidR="00845E2B" w:rsidRDefault="00845E2B" w:rsidP="00C464CD">
      <w:pPr>
        <w:spacing w:after="0" w:line="240" w:lineRule="auto"/>
      </w:pPr>
      <w:r>
        <w:separator/>
      </w:r>
    </w:p>
  </w:footnote>
  <w:footnote w:type="continuationSeparator" w:id="0">
    <w:p w14:paraId="72E72E6E" w14:textId="77777777" w:rsidR="00845E2B" w:rsidRDefault="00845E2B" w:rsidP="00C46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6AE7"/>
    <w:multiLevelType w:val="multilevel"/>
    <w:tmpl w:val="E16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F77BF"/>
    <w:multiLevelType w:val="multilevel"/>
    <w:tmpl w:val="362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B1E85"/>
    <w:multiLevelType w:val="multilevel"/>
    <w:tmpl w:val="0A2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D4DE3"/>
    <w:multiLevelType w:val="multilevel"/>
    <w:tmpl w:val="A1BC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439DA"/>
    <w:multiLevelType w:val="multilevel"/>
    <w:tmpl w:val="50C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60BA1"/>
    <w:multiLevelType w:val="multilevel"/>
    <w:tmpl w:val="8CC2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E6B49"/>
    <w:multiLevelType w:val="multilevel"/>
    <w:tmpl w:val="3B5E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14263"/>
    <w:multiLevelType w:val="multilevel"/>
    <w:tmpl w:val="04F6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10A23"/>
    <w:multiLevelType w:val="multilevel"/>
    <w:tmpl w:val="40C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00575"/>
    <w:multiLevelType w:val="multilevel"/>
    <w:tmpl w:val="10D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287C24"/>
    <w:multiLevelType w:val="multilevel"/>
    <w:tmpl w:val="A79C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50907"/>
    <w:multiLevelType w:val="multilevel"/>
    <w:tmpl w:val="120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2A0BFD"/>
    <w:multiLevelType w:val="multilevel"/>
    <w:tmpl w:val="2D20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E1887"/>
    <w:multiLevelType w:val="multilevel"/>
    <w:tmpl w:val="7272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364B2"/>
    <w:multiLevelType w:val="multilevel"/>
    <w:tmpl w:val="76F4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BC1C6D"/>
    <w:multiLevelType w:val="multilevel"/>
    <w:tmpl w:val="5FEE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68384">
    <w:abstractNumId w:val="14"/>
  </w:num>
  <w:num w:numId="2" w16cid:durableId="574509755">
    <w:abstractNumId w:val="5"/>
  </w:num>
  <w:num w:numId="3" w16cid:durableId="1303656892">
    <w:abstractNumId w:val="1"/>
  </w:num>
  <w:num w:numId="4" w16cid:durableId="1057901809">
    <w:abstractNumId w:val="3"/>
  </w:num>
  <w:num w:numId="5" w16cid:durableId="129831950">
    <w:abstractNumId w:val="15"/>
  </w:num>
  <w:num w:numId="6" w16cid:durableId="1142767939">
    <w:abstractNumId w:val="2"/>
  </w:num>
  <w:num w:numId="7" w16cid:durableId="1375423441">
    <w:abstractNumId w:val="11"/>
  </w:num>
  <w:num w:numId="8" w16cid:durableId="634259682">
    <w:abstractNumId w:val="12"/>
  </w:num>
  <w:num w:numId="9" w16cid:durableId="1590654874">
    <w:abstractNumId w:val="0"/>
  </w:num>
  <w:num w:numId="10" w16cid:durableId="1194541782">
    <w:abstractNumId w:val="7"/>
  </w:num>
  <w:num w:numId="11" w16cid:durableId="1428766160">
    <w:abstractNumId w:val="9"/>
  </w:num>
  <w:num w:numId="12" w16cid:durableId="50808969">
    <w:abstractNumId w:val="6"/>
  </w:num>
  <w:num w:numId="13" w16cid:durableId="1454322722">
    <w:abstractNumId w:val="13"/>
  </w:num>
  <w:num w:numId="14" w16cid:durableId="772627800">
    <w:abstractNumId w:val="8"/>
  </w:num>
  <w:num w:numId="15" w16cid:durableId="1254699762">
    <w:abstractNumId w:val="10"/>
  </w:num>
  <w:num w:numId="16" w16cid:durableId="1858080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60"/>
    <w:rsid w:val="000B6C05"/>
    <w:rsid w:val="000E7660"/>
    <w:rsid w:val="00241AFD"/>
    <w:rsid w:val="00443C35"/>
    <w:rsid w:val="005F0FC7"/>
    <w:rsid w:val="00845E2B"/>
    <w:rsid w:val="00C464CD"/>
    <w:rsid w:val="00CB442F"/>
    <w:rsid w:val="00E3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4DF0"/>
  <w15:chartTrackingRefBased/>
  <w15:docId w15:val="{D34E82FB-8726-46F7-A399-9BD81EEA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4CD"/>
  </w:style>
  <w:style w:type="paragraph" w:styleId="Footer">
    <w:name w:val="footer"/>
    <w:basedOn w:val="Normal"/>
    <w:link w:val="FooterChar"/>
    <w:uiPriority w:val="99"/>
    <w:unhideWhenUsed/>
    <w:rsid w:val="00C46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4CD"/>
  </w:style>
  <w:style w:type="character" w:customStyle="1" w:styleId="delimsizinginner">
    <w:name w:val="delimsizinginner"/>
    <w:basedOn w:val="DefaultParagraphFont"/>
    <w:rsid w:val="005F0FC7"/>
  </w:style>
  <w:style w:type="character" w:customStyle="1" w:styleId="vlist-s">
    <w:name w:val="vlist-s"/>
    <w:basedOn w:val="DefaultParagraphFont"/>
    <w:rsid w:val="005F0FC7"/>
  </w:style>
  <w:style w:type="character" w:customStyle="1" w:styleId="mord">
    <w:name w:val="mord"/>
    <w:basedOn w:val="DefaultParagraphFont"/>
    <w:rsid w:val="005F0FC7"/>
  </w:style>
  <w:style w:type="character" w:customStyle="1" w:styleId="mrel">
    <w:name w:val="mrel"/>
    <w:basedOn w:val="DefaultParagraphFont"/>
    <w:rsid w:val="005F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2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rangesh</dc:creator>
  <cp:keywords/>
  <dc:description/>
  <cp:lastModifiedBy>rangesh</cp:lastModifiedBy>
  <cp:revision>2</cp:revision>
  <dcterms:created xsi:type="dcterms:W3CDTF">2024-09-05T17:27:00Z</dcterms:created>
  <dcterms:modified xsi:type="dcterms:W3CDTF">2024-09-05T17:27:00Z</dcterms:modified>
</cp:coreProperties>
</file>