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
    <w:spacing w:before="720" w:after="180"/>
    <w:jc w:val="center"/>
  </w:pPr>
  <w:r>
    <w:rPr>
      <w:rFonts w:ascii="Arial" w:hAnsi="Arial"/>
      <w:b/>
      <w:color w:val="1E3A8A"/>
      <w:sz w:val="48"/>
    </w:rPr>
    <w:t>BUKU PANDUAN PENGGUNAAN APLIKASI SIMAK</w:t>
  </w:r>
</w:p>
<w:p>
  <w:pPr>
    <w:spacing w:before="0" w:after="360"/>
    <w:jc w:val="center"/>
  </w:pPr>
  <w:r>
    <w:rPr>
      <w:rFonts w:ascii="Calibri" w:hAnsi="Calibri"/>
      <w:b/>
      <w:color w:val="0D9488"/>
      <w:sz w:val="28"/>
    </w:rPr>
    <w:t>Sistem Informasi Akuntabilitas Kinerja Pendidikan Banjarnegara</w:t>
  </w:r>
</w:p>
<w:p>
  <w:pPr>
    <w:pBdr>
      <w:bottom w:val="single" w:sz="18" w:space="12" w:color="2563EB"/>
    </w:pBdr>
    <w:spacing w:before="0" w:after="540"/>
    <w:jc w:val="center"/>
  </w:pPr>
  <w:r>
    <w:rPr>
      <w:rFonts w:ascii="Calibri" w:hAnsi="Calibri"/>
      <w:color w:val="64748B"/>
      <w:sz w:val="22"/>
    </w:rPr>
    <w:t>Sistem Informasi Akuntabilitas Kinerja Pendidikan Banjarnegara</w:t>
  </w:r>
</w:p>
<w:p>
  <w:pPr>
    <w:spacing w:before="1200" w:after="120"/>
    <w:jc w:val="center"/>
  </w:pPr>
  <w:r>
    <w:rPr>
      <w:rFonts w:ascii="Arial" w:hAnsi="Arial"/>
      <w:b/>
      <w:color w:val="0F172A"/>
      <w:sz w:val="26"/>
    </w:rPr>
    <w:t>DINAS PENDIDIKAN, KEPEMUDAAN DAN OLAHRAGA KABUPATEN BANJARNEGARA</w:t>
  </w:r>
</w:p>
<w:p>
  <w:pPr>
    <w:spacing w:before="0" w:after="120"/>
    <w:jc w:val="center"/>
  </w:pPr>
  <w:r>
    <w:rPr>
      <w:rFonts w:ascii="Calibri" w:hAnsi="Calibri"/>
      <w:color w:val="334155"/>
      <w:sz w:val="22"/>
    </w:rPr>
    <w:t>Pemerintah Kabupaten Banjarnegara — Provinsi Jawa Tengah</w:t>
  </w:r>
</w:p>
<w:p>
  <w:pPr>
    <w:spacing w:before="0" w:after="1200"/>
    <w:jc w:val="center"/>
  </w:pPr>
  <w:r>
    <w:rPr>
      <w:rFonts w:ascii="Calibri" w:hAnsi="Calibri"/>
      <w:b/>
      <w:color w:val="2563EB"/>
      <w:sz w:val="22"/>
    </w:rPr>
    <w:t>Periode Rencana Strategis (Renstra) 2025–2029</w:t>
  </w:r>
</w:p>
<w:p>
  <w:pPr>
    <w:pBdr>
      <w:top w:val="single" w:sz="6" w:space="8" w:color="CBD5E1"/>
    </w:pBdr>
    <w:spacing w:before="720" w:after="60"/>
    <w:jc w:val="center"/>
  </w:pPr>
  <w:r>
    <w:rPr>
      <w:rFonts w:ascii="Calibri" w:hAnsi="Calibri"/>
      <w:color w:val="64748B"/>
      <w:sz w:val="18"/>
    </w:rPr>
    <w:t>Versi 2.5 (Dokumen Resmi &amp; Lengkap) — Dicetak & Divalidasi Sistem: 20 October 2026</w:t>
  </w:r>
</w:p>
<w:p><w:r><w:br w:type="page"/></w:r></w:p>
<w:p>
  <w:pPr>
    <w:pStyle w:val="Heading1"/>
    <w:pBdr>
      <w:bottom w:val="single" w:sz="12" w:space="6" w:color="1E3A8A"/>
    </w:pBdr>
    <w:spacing w:before="420" w:after="160"/>
  </w:pPr>
  <w:r>
    <w:rPr>
      <w:rFonts w:ascii="Arial" w:hAnsi="Arial"/>
      <w:b/>
      <w:color w:val="1E3A8A"/>
      <w:sz w:val="32"/>
    </w:rPr>
    <w:t>KATA PENGANTAR</w:t>
  </w:r>
</w:p>
<w:p>
  <w:pPr>
    <w:spacing w:line="276" w:lineRule="auto" w:before="60" w:after="100"/>
    <w:jc w:val="both"/>
  </w:pPr>
  <w:r>
    <w:rPr>
      <w:rFonts w:ascii="Calibri" w:hAnsi="Calibri"/>
      
      
      <w:color w:val="1E293B"/>
      <w:sz w:val="22"/>
    </w:rPr>
    <w:t xml:space="preserve">Puji syukur ke hadirat Tuhan Yang Maha Esa, atas limpahan rahmat dan petunjuk-Nya, Buku Panduan Penggunaan Sistem Informasi Akuntabilitas Kinerja Pendidikan (SIMAK) Dinas Pendidikan, Kepemudaan dan Olahraga Kabupaten Banjarnegara ini dapat diselesaikan.</w:t>
  </w:r>
</w:p>
<w:p>
  <w:pPr>
    <w:spacing w:line="276" w:lineRule="auto" w:before="60" w:after="100"/>
    <w:jc w:val="both"/>
  </w:pPr>
  <w:r>
    <w:rPr>
      <w:rFonts w:ascii="Calibri" w:hAnsi="Calibri"/>
      
      
      <w:color w:val="1E293B"/>
      <w:sz w:val="22"/>
    </w:rPr>
    <w:t xml:space="preserve">Aplikasi SIMAK dikembangkan sebagai instrumen digital terpadu untuk menyelaraskan perencanaan strategis lima tahunan (Renstra), evaluasi akuntabilitas kinerja instansi pemerintah (SAKIP), perhitungan indikator Standar Pelayanan Minimal (SPM), serta pemantauan data riil satuan pendidikan, murid, dan guru di 20 wilayah kecamatan se-Kabupaten Banjarnegara.</w:t>
  </w:r>
</w:p>
<w:p>
  <w:pPr>
    <w:spacing w:line="276" w:lineRule="auto" w:before="60" w:after="100"/>
    <w:jc w:val="both"/>
  </w:pPr>
  <w:r>
    <w:rPr>
      <w:rFonts w:ascii="Calibri" w:hAnsi="Calibri"/>
      
      
      <w:color w:val="1E293B"/>
      <w:sz w:val="22"/>
    </w:rPr>
    <w:t xml:space="preserve">Buku panduan ini disusun secara komprehensif untuk memberikan panduan operasional teknis bagi seluruh jajaran pimpinan dinas, analis perencana, maupun operator wilayah. Di dalam buku ini dijelaskan secara mendalam mengenai fungsi seluruh menu, sumber data, hak akses peran pengguna, hingga matriks keterkaitan dan dampak perubahan data antar menu.</w:t>
  </w:r>
</w:p>
<w:p>
  <w:pPr>
    <w:pBdr>
      <w:left w:val="single" w:sz="36" w:space="16" w:color="10B981"/>
    </w:pBdr>
    <w:shd w:val="clear" w:color="auto" w:fill="ECFDF5"/>
    <w:spacing w:line="276" w:lineRule="auto" w:before="160" w:after="160"/>
    <w:ind w:left="240" w:right="200"/>
    <w:jc w:val="both"/>
  </w:pPr>
  <w:r>
    <w:rPr>
      <w:rFonts w:ascii="Calibri" w:hAnsi="Calibri"/>
      <w:b/>
      <w:color w:val="047857"/>
      <w:sz w:val="22"/>
    </w:rPr>
    <w:t xml:space="preserve">📌 KOMITMEN TRANSPARANSI &amp; AKUNTABILITAS: </w:t>
  </w:r>
  <w:r>
    <w:rPr>
      <w:rFonts w:ascii="Calibri" w:hAnsi="Calibri"/>
      <w:color w:val="1E293B"/>
      <w:sz w:val="21"/>
    </w:rPr>
    <w:t>Dengan pemanfaatan SIMAK secara tertib dan berkelanjutan, DINDIKPORA Banjarnegara bertekad mempertahankan dan meningkatkan predikat Nilai AKIP Daerah serta menjamin seluruh kebijakan pendidikan berbasis pada bukti data riil (evidence-based policy).</w:t>
  </w:r>
</w:p>
<w:p>
  <w:pPr>
    <w:pStyle w:val="Heading1"/>
    <w:pBdr>
      <w:bottom w:val="single" w:sz="12" w:space="6" w:color="1E3A8A"/>
    </w:pBdr>
    <w:spacing w:before="420" w:after="160"/>
  </w:pPr>
  <w:r>
    <w:rPr>
      <w:rFonts w:ascii="Arial" w:hAnsi="Arial"/>
      <w:b/>
      <w:color w:val="1E3A8A"/>
      <w:sz w:val="32"/>
    </w:rPr>
    <w:t>BAB I: PENDAHULUAN &amp; ARSITEKTUR SISTEM</w:t>
  </w:r>
</w:p>
<w:p>
  <w:pPr>
    <w:pStyle w:val="Heading2"/>
    <w:spacing w:before="300" w:after="100"/>
  </w:pPr>
  <w:r>
    <w:rPr>
      <w:rFonts w:ascii="Arial" w:hAnsi="Arial"/>
      <w:b/>
      <w:color w:val="0D9488"/>
      <w:sz w:val="26"/>
    </w:rPr>
    <w:t>1.1 Latar Belakang &amp; Landasan Hukum</w:t>
  </w:r>
</w:p>
<w:p>
  <w:pPr>
    <w:spacing w:line="276" w:lineRule="auto" w:before="60" w:after="100"/>
    <w:jc w:val="both"/>
  </w:pPr>
  <w:r>
    <w:rPr>
      <w:rFonts w:ascii="Calibri" w:hAnsi="Calibri"/>
      
      
      <w:color w:val="1E293B"/>
      <w:sz w:val="22"/>
    </w:rPr>
    <w:t xml:space="preserve">Akuntabilitas kinerja merupakan kewajiban setiap instansi pemerintah untuk mempertanggungjawabkan keberhasilan dan kegagalan pelaksanaan program dan kegiatan dalam mencapai sasaran strategis. SIMAK Banjarnegara dibangun dengan berlandaskan pada regulasi nasional dan daerah sebagai berikut:</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PermenPAN-RB No. 88 &amp; 89 Tahun 2021: </w:t>
  </w:r>
  <w:r>
    <w:rPr>
      <w:rFonts w:ascii="Calibri" w:hAnsi="Calibri"/>
      <w:color w:val="334155"/>
      <w:sz w:val="22"/>
    </w:rPr>
    <w:t>Tentang Evaluasi Akuntabilitas Kinerja Instansi Pemerintah (AKIP) dan Penjenjangan Kinerja.</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Permendikbudristek No. 32 Tahun 2022: </w:t>
  </w:r>
  <w:r>
    <w:rPr>
      <w:rFonts w:ascii="Calibri" w:hAnsi="Calibri"/>
      <w:color w:val="334155"/>
      <w:sz w:val="22"/>
    </w:rPr>
    <w:t>Tentang Standar Pelayanan Minimal (SPM) Pendidikan Daerah.</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Perda RPJMD Kabupaten Banjarnegara: </w:t>
  </w:r>
  <w:r>
    <w:rPr>
      <w:rFonts w:ascii="Calibri" w:hAnsi="Calibri"/>
      <w:color w:val="334155"/>
      <w:sz w:val="22"/>
    </w:rPr>
    <w:t>Rencana Pembangunan Jangka Menengah Daerah Kabupaten Banjarnegara yang memuat target indikator makro pendidikan (RLS, HLS, IPM, APK, dan APM).</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Renstra DINDIKPORA Banjarnegara 2025–2029: </w:t>
  </w:r>
  <w:r>
    <w:rPr>
      <w:rFonts w:ascii="Calibri" w:hAnsi="Calibri"/>
      <w:color w:val="334155"/>
      <w:sz w:val="22"/>
    </w:rPr>
    <w:t>Dokumen Rencana Strategis yang menjadi tolok ukur penetapan target kinerja 5 tahunan dinas.</w:t>
  </w:r>
</w:p>
<w:p>
  <w:pPr>
    <w:pStyle w:val="Heading2"/>
    <w:spacing w:before="300" w:after="100"/>
  </w:pPr>
  <w:r>
    <w:rPr>
      <w:rFonts w:ascii="Arial" w:hAnsi="Arial"/>
      <w:b/>
      <w:color w:val="0D9488"/>
      <w:sz w:val="26"/>
    </w:rPr>
    <w:t>1.2 Empat Kategori Peran Pengguna (Role) &amp; Wilayah Tugas</w:t>
  </w:r>
</w:p>
<w:p>
  <w:pPr>
    <w:spacing w:line="276" w:lineRule="auto" w:before="60" w:after="100"/>
    <w:jc w:val="both"/>
  </w:pPr>
  <w:r>
    <w:rPr>
      <w:rFonts w:ascii="Calibri" w:hAnsi="Calibri"/>
      
      
      <w:color w:val="1E293B"/>
      <w:sz w:val="22"/>
    </w:rPr>
    <w:t xml:space="preserve">Untuk menjamin tata kelola data yang aman dan terstruktur, SIMAK membagi pengguna ke dalam 4 tingkatan peran (role) dengan kewenangan yang terisolasi secara ketat:</w:t>
  </w:r>
</w:p>
<w:tbl>  <w:tblPr>
    <w:tblW w:w="9600" w:type="dxa"/>
    <w:tblBorders>
      <w:top w:val="single" w:sz="6" w:space="0" w:color="CBD5E1"/>
      <w:left w:val="none"/>
      <w:bottom w:val="single" w:sz="8" w:space="0" w:color="94A3B8"/>
      <w:right w:val="none"/>
      <w:insideH w:val="single" w:sz="4" w:space="0" w:color="E2E8F0"/>
      <w:insideV w:val="none"/>
    </w:tblBorders>
    <w:tblCellMar>
      <w:top w:w="120" w:type="dxa"/>
      <w:left w:w="140" w:type="dxa"/>
      <w:bottom w:w="120" w:type="dxa"/>
      <w:right w:w="140" w:type="dxa"/>
    </w:tblCellMar>
  </w:tblPr><w:tr><w:trPr><w:tblHeader/><w:cantSplit/></w:trPr>    <w:tc>
      <w:tcPr>
        <w:tcW w:w="1600" w:type="dxa"/>
        <w:shd w:val="clear" w:color="auto" w:fill="1E3A8A"/>
      </w:tcPr>
      <w:p>
        <w:pPr>
          <w:spacing w:before="60" w:after="60"/>
        </w:pPr>
        <w:r>
          <w:rPr>
            <w:rFonts w:ascii="Arial" w:hAnsi="Arial"/>
            <w:b/>
            <w:color w:val="FFFFFF"/>
            <w:sz w:val="20"/>
          </w:rPr>
          <w:t>Peran (Role)</w:t>
        </w:r>
      </w:p>
    </w:tc>    <w:tc>
      <w:tcPr>
        <w:tcW w:w="1400" w:type="dxa"/>
        <w:shd w:val="clear" w:color="auto" w:fill="1E3A8A"/>
      </w:tcPr>
      <w:p>
        <w:pPr>
          <w:spacing w:before="60" w:after="60"/>
        </w:pPr>
        <w:r>
          <w:rPr>
            <w:rFonts w:ascii="Arial" w:hAnsi="Arial"/>
            <w:b/>
            <w:color w:val="FFFFFF"/>
            <w:sz w:val="20"/>
          </w:rPr>
          <w:t>Kode Sistem</w:t>
        </w:r>
      </w:p>
    </w:tc>    <w:tc>
      <w:tcPr>
        <w:tcW w:w="2200" w:type="dxa"/>
        <w:shd w:val="clear" w:color="auto" w:fill="1E3A8A"/>
      </w:tcPr>
      <w:p>
        <w:pPr>
          <w:spacing w:before="60" w:after="60"/>
        </w:pPr>
        <w:r>
          <w:rPr>
            <w:rFonts w:ascii="Arial" w:hAnsi="Arial"/>
            <w:b/>
            <w:color w:val="FFFFFF"/>
            <w:sz w:val="20"/>
          </w:rPr>
          <w:t>Tingkat Wewenang</w:t>
        </w:r>
      </w:p>
    </w:tc>    <w:tc>
      <w:tcPr>
        <w:tcW w:w="4400" w:type="dxa"/>
        <w:shd w:val="clear" w:color="auto" w:fill="1E3A8A"/>
      </w:tcPr>
      <w:p>
        <w:pPr>
          <w:spacing w:before="60" w:after="60"/>
        </w:pPr>
        <w:r>
          <w:rPr>
            <w:rFonts w:ascii="Arial" w:hAnsi="Arial"/>
            <w:b/>
            <w:color w:val="FFFFFF"/>
            <w:sz w:val="20"/>
          </w:rPr>
          <w:t>Deskripsi Tugas Utama</w:t>
        </w:r>
      </w:p>
    </w:tc></w:tr><w:tr><w:trPr><w:cantSplit/></w:trPr>    <w:tc>
      <w:tcPr>
        <w:tcW w:w="1600" w:type="dxa"/>
        <w:shd w:val="clear" w:color="auto" w:fill="FFFFFF"/>
      </w:tcPr>
      <w:p>
        <w:pPr>
          <w:spacing w:line="240" w:lineRule="auto" w:before="50" w:after="50"/>
        </w:pPr>
        <w:r>
          <w:rPr>
            <w:rFonts w:ascii="Calibri" w:hAnsi="Calibri"/>
            <w:color w:val="1E293B"/>
            <w:sz w:val="20"/>
          </w:rPr>
          <w:t>Kepala Dinas</w:t>
        </w:r>
      </w:p>
    </w:tc>    <w:tc>
      <w:tcPr>
        <w:tcW w:w="1400" w:type="dxa"/>
        <w:shd w:val="clear" w:color="auto" w:fill="FFFFFF"/>
      </w:tcPr>
      <w:p>
        <w:pPr>
          <w:spacing w:line="240" w:lineRule="auto" w:before="50" w:after="50"/>
        </w:pPr>
        <w:r>
          <w:rPr>
            <w:rFonts w:ascii="Calibri" w:hAnsi="Calibri"/>
            <w:color w:val="1E293B"/>
            <w:sz w:val="20"/>
          </w:rPr>
          <w:t>pimpinan</w:t>
        </w:r>
      </w:p>
    </w:tc>    <w:tc>
      <w:tcPr>
        <w:tcW w:w="2200" w:type="dxa"/>
        <w:shd w:val="clear" w:color="auto" w:fill="FFFFFF"/>
      </w:tcPr>
      <w:p>
        <w:pPr>
          <w:spacing w:line="240" w:lineRule="auto" w:before="50" w:after="50"/>
        </w:pPr>
        <w:r>
          <w:rPr>
            <w:rFonts w:ascii="Calibri" w:hAnsi="Calibri"/>
            <w:color w:val="1E293B"/>
            <w:sz w:val="20"/>
          </w:rPr>
          <w:t>Eksekutif / Read-Only Utama</w:t>
        </w:r>
      </w:p>
    </w:tc>    <w:tc>
      <w:tcPr>
        <w:tcW w:w="4400" w:type="dxa"/>
        <w:shd w:val="clear" w:color="auto" w:fill="FFFFFF"/>
      </w:tcPr>
      <w:p>
        <w:pPr>
          <w:spacing w:line="240" w:lineRule="auto" w:before="50" w:after="50"/>
        </w:pPr>
        <w:r>
          <w:rPr>
            <w:rFonts w:ascii="Calibri" w:hAnsi="Calibri"/>
            <w:color w:val="1E293B"/>
            <w:sz w:val="20"/>
          </w:rPr>
          <w:t>Akses pemantauan dashboard eksekutif, rekapitulasi indikator APK/APM, matriks gap analysis, peta sebaran wilayah, dan dokumen resmi LKjIP siap cetak.</w:t>
        </w:r>
      </w:p>
    </w:tc></w:tr><w:tr><w:trPr><w:cantSplit/></w:trPr>    <w:tc>
      <w:tcPr>
        <w:tcW w:w="1600" w:type="dxa"/>
        <w:shd w:val="clear" w:color="auto" w:fill="F8FAFC"/>
      </w:tcPr>
      <w:p>
        <w:pPr>
          <w:spacing w:line="240" w:lineRule="auto" w:before="50" w:after="50"/>
        </w:pPr>
        <w:r>
          <w:rPr>
            <w:rFonts w:ascii="Calibri" w:hAnsi="Calibri"/>
            <w:color w:val="1E293B"/>
            <w:sz w:val="20"/>
          </w:rPr>
          <w:t>Perencana</w:t>
        </w:r>
      </w:p>
    </w:tc>    <w:tc>
      <w:tcPr>
        <w:tcW w:w="1400" w:type="dxa"/>
        <w:shd w:val="clear" w:color="auto" w:fill="F8FAFC"/>
      </w:tcPr>
      <w:p>
        <w:pPr>
          <w:spacing w:line="240" w:lineRule="auto" w:before="50" w:after="50"/>
        </w:pPr>
        <w:r>
          <w:rPr>
            <w:rFonts w:ascii="Calibri" w:hAnsi="Calibri"/>
            <w:color w:val="1E293B"/>
            <w:sz w:val="20"/>
          </w:rPr>
          <w:t>perencana</w:t>
        </w:r>
      </w:p>
    </w:tc>    <w:tc>
      <w:tcPr>
        <w:tcW w:w="2200" w:type="dxa"/>
        <w:shd w:val="clear" w:color="auto" w:fill="F8FAFC"/>
      </w:tcPr>
      <w:p>
        <w:pPr>
          <w:spacing w:line="240" w:lineRule="auto" w:before="50" w:after="50"/>
        </w:pPr>
        <w:r>
          <w:rPr>
            <w:rFonts w:ascii="Calibri" w:hAnsi="Calibri"/>
            <w:color w:val="1E293B"/>
            <w:sz w:val="20"/>
          </w:rPr>
          <w:t>Analis &amp; Perencana Data</w:t>
        </w:r>
      </w:p>
    </w:tc>    <w:tc>
      <w:tcPr>
        <w:tcW w:w="4400" w:type="dxa"/>
        <w:shd w:val="clear" w:color="auto" w:fill="F8FAFC"/>
      </w:tcPr>
      <w:p>
        <w:pPr>
          <w:spacing w:line="240" w:lineRule="auto" w:before="50" w:after="50"/>
        </w:pPr>
        <w:r>
          <w:rPr>
            <w:rFonts w:ascii="Calibri" w:hAnsi="Calibri"/>
            <w:color w:val="1E293B"/>
            <w:sz w:val="20"/>
          </w:rPr>
          <w:t>Mengelola target Renstra 5 tahunan, menginput realisasi SAKIP tahunan, merumuskan analisis kesenjangan kinerja, catatan evaluasi, rekomendasi kebijakan, serta validasi draf LKjIP.</w:t>
        </w:r>
      </w:p>
    </w:tc></w:tr><w:tr><w:trPr><w:cantSplit/></w:trPr>    <w:tc>
      <w:tcPr>
        <w:tcW w:w="1600" w:type="dxa"/>
        <w:shd w:val="clear" w:color="auto" w:fill="FFFFFF"/>
      </w:tcPr>
      <w:p>
        <w:pPr>
          <w:spacing w:line="240" w:lineRule="auto" w:before="50" w:after="50"/>
        </w:pPr>
        <w:r>
          <w:rPr>
            <w:rFonts w:ascii="Calibri" w:hAnsi="Calibri"/>
            <w:color w:val="1E293B"/>
            <w:sz w:val="20"/>
          </w:rPr>
          <w:t>Operator</w:t>
        </w:r>
      </w:p>
    </w:tc>    <w:tc>
      <w:tcPr>
        <w:tcW w:w="1400" w:type="dxa"/>
        <w:shd w:val="clear" w:color="auto" w:fill="FFFFFF"/>
      </w:tcPr>
      <w:p>
        <w:pPr>
          <w:spacing w:line="240" w:lineRule="auto" w:before="50" w:after="50"/>
        </w:pPr>
        <w:r>
          <w:rPr>
            <w:rFonts w:ascii="Calibri" w:hAnsi="Calibri"/>
            <w:color w:val="1E293B"/>
            <w:sz w:val="20"/>
          </w:rPr>
          <w:t>operator</w:t>
        </w:r>
      </w:p>
    </w:tc>    <w:tc>
      <w:tcPr>
        <w:tcW w:w="2200" w:type="dxa"/>
        <w:shd w:val="clear" w:color="auto" w:fill="FFFFFF"/>
      </w:tcPr>
      <w:p>
        <w:pPr>
          <w:spacing w:line="240" w:lineRule="auto" w:before="50" w:after="50"/>
        </w:pPr>
        <w:r>
          <w:rPr>
            <w:rFonts w:ascii="Calibri" w:hAnsi="Calibri"/>
            <w:color w:val="1E293B"/>
            <w:sz w:val="20"/>
          </w:rPr>
          <w:t>Entri Data Teknis Wilayah</w:t>
        </w:r>
      </w:p>
    </w:tc>    <w:tc>
      <w:tcPr>
        <w:tcW w:w="4400" w:type="dxa"/>
        <w:shd w:val="clear" w:color="auto" w:fill="FFFFFF"/>
      </w:tcPr>
      <w:p>
        <w:pPr>
          <w:spacing w:line="240" w:lineRule="auto" w:before="50" w:after="50"/>
        </w:pPr>
        <w:r>
          <w:rPr>
            <w:rFonts w:ascii="Calibri" w:hAnsi="Calibri"/>
            <w:color w:val="1E293B"/>
            <w:sz w:val="20"/>
          </w:rPr>
          <w:t>Mengelola entri data satuan pendidikan, partisipasi rombel siswa Dapodik, data guru pendidik, demografi penduduk usia sekolah, dan kejuaraan siswa. Dibatasi secara otomatis sesuai kecamatan tugasnya.</w:t>
        </w:r>
      </w:p>
    </w:tc></w:tr><w:tr><w:trPr><w:cantSplit/></w:trPr>    <w:tc>
      <w:tcPr>
        <w:tcW w:w="1600" w:type="dxa"/>
        <w:shd w:val="clear" w:color="auto" w:fill="F8FAFC"/>
      </w:tcPr>
      <w:p>
        <w:pPr>
          <w:spacing w:line="240" w:lineRule="auto" w:before="50" w:after="50"/>
        </w:pPr>
        <w:r>
          <w:rPr>
            <w:rFonts w:ascii="Calibri" w:hAnsi="Calibri"/>
            <w:color w:val="1E293B"/>
            <w:sz w:val="20"/>
          </w:rPr>
          <w:t>Super Admin</w:t>
        </w:r>
      </w:p>
    </w:tc>    <w:tc>
      <w:tcPr>
        <w:tcW w:w="1400" w:type="dxa"/>
        <w:shd w:val="clear" w:color="auto" w:fill="F8FAFC"/>
      </w:tcPr>
      <w:p>
        <w:pPr>
          <w:spacing w:line="240" w:lineRule="auto" w:before="50" w:after="50"/>
        </w:pPr>
        <w:r>
          <w:rPr>
            <w:rFonts w:ascii="Calibri" w:hAnsi="Calibri"/>
            <w:color w:val="1E293B"/>
            <w:sz w:val="20"/>
          </w:rPr>
          <w:t>admin</w:t>
        </w:r>
      </w:p>
    </w:tc>    <w:tc>
      <w:tcPr>
        <w:tcW w:w="2200" w:type="dxa"/>
        <w:shd w:val="clear" w:color="auto" w:fill="F8FAFC"/>
      </w:tcPr>
      <w:p>
        <w:pPr>
          <w:spacing w:line="240" w:lineRule="auto" w:before="50" w:after="50"/>
        </w:pPr>
        <w:r>
          <w:rPr>
            <w:rFonts w:ascii="Calibri" w:hAnsi="Calibri"/>
            <w:color w:val="1E293B"/>
            <w:sz w:val="20"/>
          </w:rPr>
          <w:t>Administrator Sistem</w:t>
        </w:r>
      </w:p>
    </w:tc>    <w:tc>
      <w:tcPr>
        <w:tcW w:w="4400" w:type="dxa"/>
        <w:shd w:val="clear" w:color="auto" w:fill="F8FAFC"/>
      </w:tcPr>
      <w:p>
        <w:pPr>
          <w:spacing w:line="240" w:lineRule="auto" w:before="50" w:after="50"/>
        </w:pPr>
        <w:r>
          <w:rPr>
            <w:rFonts w:ascii="Calibri" w:hAnsi="Calibri"/>
            <w:color w:val="1E293B"/>
            <w:sz w:val="20"/>
          </w:rPr>
          <w:t>Memiliki hak akses penuh mutlak terhadap seluruh menu, konfigurasi parameter aplikasi, pengelolaan akun pengguna, penugasan wilayah operator, serta pengaturan matriks perizinan menu.</w:t>
        </w:r>
      </w:p>
    </w:tc></w:tr></w:tbl>
<w:p><w:pPr><w:spacing w:before="0" w:after="160"/></w:pPr></w:p>
<w:p>
  <w:pPr>
    <w:pBdr>
      <w:left w:val="single" w:sz="36" w:space="16" w:color="2563EB"/>
    </w:pBdr>
    <w:shd w:val="clear" w:color="auto" w:fill="EFF6FF"/>
    <w:spacing w:line="276" w:lineRule="auto" w:before="160" w:after="160"/>
    <w:ind w:left="240" w:right="200"/>
    <w:jc w:val="both"/>
  </w:pPr>
  <w:r>
    <w:rPr>
      <w:rFonts w:ascii="Calibri" w:hAnsi="Calibri"/>
      <w:b/>
      <w:color w:val="1D4ED8"/>
      <w:sz w:val="22"/>
    </w:rPr>
    <w:t xml:space="preserve">📌 FITUR OPERATOR SCOPING PER KECAMATAN: </w:t>
  </w:r>
  <w:r>
    <w:rPr>
      <w:rFonts w:ascii="Calibri" w:hAnsi="Calibri"/>
      <w:color w:val="1E293B"/>
      <w:sz w:val="21"/>
    </w:rPr>
    <w:t>Pengguna dengan peran Operator dapat ditugaskan pada wilayah kecamatan tertentu (misal: Kec. Batur atau Kec. Mandiraja). Saat login, sistem secara otomatis mengunci dan menyaring form input sehingga operator tersebut hanya dapat mengelola data sekolah dan siswa di wilayah tugasnya, mencegah tumpang tindih data antar kecamatan.</w:t>
  </w:r>
</w:p>
<w:p>
  <w:pPr>
    <w:pStyle w:val="Heading2"/>
    <w:spacing w:before="300" w:after="100"/>
  </w:pPr>
  <w:r>
    <w:rPr>
      <w:rFonts w:ascii="Arial" w:hAnsi="Arial"/>
      <w:b/>
      <w:color w:val="0D9488"/>
      <w:sz w:val="26"/>
    </w:rPr>
    <w:t>1.3 Matriks Perizinan Menu Dinamis (Role Menu Permissions)</w:t>
  </w:r>
</w:p>
<w:p>
  <w:pPr>
    <w:spacing w:line="276" w:lineRule="auto" w:before="60" w:after="100"/>
    <w:jc w:val="both"/>
  </w:pPr>
  <w:r>
    <w:rPr>
      <w:rFonts w:ascii="Calibri" w:hAnsi="Calibri"/>
      
      
      <w:color w:val="1E293B"/>
      <w:sz w:val="22"/>
    </w:rPr>
    <w:t xml:space="preserve">Super Admin dapat mengatur secara langsung hak akses menu apa saja yang diberikan kepada masing-masing peran melalui menu Manajemen Pengguna. Aturan ini ditegakkan di tingkat backend oleh middleware CheckMenuAccess. Apabila pengguna mencoba mengakses URL menu yang tidak diizinkan, sistem secara otomatis menolak dengan kode HTTP 403 Forbidden.</w:t>
  </w:r>
</w:p>
<w:p>
  <w:pPr>
    <w:pStyle w:val="Heading1"/>
    <w:pBdr>
      <w:bottom w:val="single" w:sz="12" w:space="6" w:color="1E3A8A"/>
    </w:pBdr>
    <w:spacing w:before="420" w:after="160"/>
  </w:pPr>
  <w:r>
    <w:rPr>
      <w:rFonts w:ascii="Arial" w:hAnsi="Arial"/>
      <w:b/>
      <w:color w:val="1E3A8A"/>
      <w:sz w:val="32"/>
    </w:rPr>
    <w:t>BAB II: STRUKTUR MENU &amp; TATA LETAK APLIKASI</w:t>
  </w:r>
</w:p>
<w:p>
  <w:pPr>
    <w:pStyle w:val="Heading2"/>
    <w:spacing w:before="300" w:after="100"/>
  </w:pPr>
  <w:r>
    <w:rPr>
      <w:rFonts w:ascii="Arial" w:hAnsi="Arial"/>
      <w:b/>
      <w:color w:val="0D9488"/>
      <w:sz w:val="26"/>
    </w:rPr>
    <w:t>2.1 Pengelompokan Menu pada Sidebar</w:t>
  </w:r>
</w:p>
<w:p>
  <w:pPr>
    <w:spacing w:line="276" w:lineRule="auto" w:before="60" w:after="100"/>
    <w:jc w:val="both"/>
  </w:pPr>
  <w:r>
    <w:rPr>
      <w:rFonts w:ascii="Calibri" w:hAnsi="Calibri"/>
      
      
      <w:color w:val="1E293B"/>
      <w:sz w:val="22"/>
    </w:rPr>
    <w:t xml:space="preserve">Struktur navigasi SIMAK dikelompokkan ke dalam 5 bagian utama yang terstruktur secara logis: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1. Ringkasan &amp; Master Data: </w:t>
  </w:r>
  <w:r>
    <w:rPr>
      <w:rFonts w:ascii="Calibri" w:hAnsi="Calibri"/>
      <w:color w:val="334155"/>
      <w:sz w:val="22"/>
    </w:rPr>
    <w:t>Memuat Dashboard Kinerja, Satuan Pendidikan, Partisipasi Siswa, Guru &amp; Pendidik, Tujuan 1 (Penduduk Usia Sekolah), dan Tujuan 2 (Prestasi Siswa).</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2. Hasil &amp; Indikator Kinerja: </w:t>
  </w:r>
  <w:r>
    <w:rPr>
      <w:rFonts w:ascii="Calibri" w:hAnsi="Calibri"/>
      <w:color w:val="334155"/>
      <w:sz w:val="22"/>
    </w:rPr>
    <w:t>Memuat tabulasi analitik indikator makro: APK, APM, APS, Sertifikasi Guru, dan Akreditasi PAUD.</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3. Renstra &amp; Akuntabilitas: </w:t>
  </w:r>
  <w:r>
    <w:rPr>
      <w:rFonts w:ascii="Calibri" w:hAnsi="Calibri"/>
      <w:color w:val="334155"/>
      <w:sz w:val="22"/>
    </w:rPr>
    <w:t>Memuat penetapan Target Renstra, Realisasi Capaian Kinerja, Evaluasi Kinerja (Gap Analysis), dan Dokumen LKjIP Resmi.</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4. Peta &amp; Ekspor: </w:t>
  </w:r>
  <w:r>
    <w:rPr>
      <w:rFonts w:ascii="Calibri" w:hAnsi="Calibri"/>
      <w:color w:val="334155"/>
      <w:sz w:val="22"/>
    </w:rPr>
    <w:t>Memuat submenu visualisasi Peta Sebaran GIS 20 Kecamatan dan Unduh Rekap Data Excel (.xlsx).</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5. Pengaturan &amp; Tata Kelola: </w:t>
  </w:r>
  <w:r>
    <w:rPr>
      <w:rFonts w:ascii="Calibri" w:hAnsi="Calibri"/>
      <w:color w:val="334155"/>
      <w:sz w:val="22"/>
    </w:rPr>
    <w:t>Diletakkan di urutan paling bawah, memuat submenu Pengaturan Aplikasi, Manajemen Pengguna &amp; Hak Akses, Log Audit Trail, serta Panduan &amp; Glosarium SAKIP.</w:t>
  </w:r>
</w:p>
<w:p>
  <w:pPr>
    <w:pStyle w:val="Heading2"/>
    <w:spacing w:before="300" w:after="100"/>
  </w:pPr>
  <w:r>
    <w:rPr>
      <w:rFonts w:ascii="Arial" w:hAnsi="Arial"/>
      <w:b/>
      <w:color w:val="0D9488"/>
      <w:sz w:val="26"/>
    </w:rPr>
    <w:t>2.2 Penjelasan Perubahan Desain &amp; Pertanyaan Khusus</w:t>
  </w:r>
</w:p>
<w:p>
  <w:pPr>
    <w:spacing w:line="276" w:lineRule="auto" w:before="60" w:after="100"/>
    <w:jc w:val="both"/>
  </w:pPr>
  <w:r>
    <w:rPr>
      <w:rFonts w:ascii="Calibri" w:hAnsi="Calibri"/>
      
      
      <w:color w:val="1E293B"/>
      <w:sz w:val="22"/>
    </w:rPr>
    <w:t xml:space="preserve">Berikut penjelasan detail mengenai beberapa keputusan desain dan tata letak yang diterapkan pada aplikasi SIMAK:</w:t>
  </w:r>
</w:p>
<w:p>
  <w:pPr>
    <w:pBdr>
      <w:left w:val="single" w:sz="36" w:space="16" w:color="2563EB"/>
    </w:pBdr>
    <w:shd w:val="clear" w:color="auto" w:fill="EFF6FF"/>
    <w:spacing w:line="276" w:lineRule="auto" w:before="160" w:after="160"/>
    <w:ind w:left="240" w:right="200"/>
    <w:jc w:val="both"/>
  </w:pPr>
  <w:r>
    <w:rPr>
      <w:rFonts w:ascii="Calibri" w:hAnsi="Calibri"/>
      <w:b/>
      <w:color w:val="1D4ED8"/>
      <w:sz w:val="22"/>
    </w:rPr>
    <w:t xml:space="preserve">📌 Mengapa Menu Pengaturan Diletakkan di Urutan Paling Bawah?: </w:t>
  </w:r>
  <w:r>
    <w:rPr>
      <w:rFonts w:ascii="Calibri" w:hAnsi="Calibri"/>
      <w:color w:val="1E293B"/>
      <w:sz w:val="21"/>
    </w:rPr>
    <w:t>Sesuai dengan kaidah User Experience (UX) dan standar aplikasi enterprise modern, menu konfigurasi sistem, audit, dan administrasi akun pengguna dipisahkan di bagian terbawah sidebar agar tidak mengaburkan fokus operasional harian pengguna terhadap data pendidikan dan capaian kinerja.</w:t>
  </w:r>
</w:p>
<w:p>
  <w:pPr>
    <w:pBdr>
      <w:left w:val="single" w:sz="36" w:space="16" w:color="2563EB"/>
    </w:pBdr>
    <w:shd w:val="clear" w:color="auto" w:fill="EFF6FF"/>
    <w:spacing w:line="276" w:lineRule="auto" w:before="160" w:after="160"/>
    <w:ind w:left="240" w:right="200"/>
    <w:jc w:val="both"/>
  </w:pPr>
  <w:r>
    <w:rPr>
      <w:rFonts w:ascii="Calibri" w:hAnsi="Calibri"/>
      <w:b/>
      <w:color w:val="1D4ED8"/>
      <w:sz w:val="22"/>
    </w:rPr>
    <w:t xml:space="preserve">📌 Mengapa Peta Sebaran dan Unduh Dimasukkan ke dalam Menu &quot;Peta &amp; Ekspor&quot;?: </w:t>
  </w:r>
  <w:r>
    <w:rPr>
      <w:rFonts w:ascii="Calibri" w:hAnsi="Calibri"/>
      <w:color w:val="1E293B"/>
      <w:sz w:val="21"/>
    </w:rPr>
    <w:t>Peta GIS dan fitur Ekspor data Excel merupakan modul keluaran visual dan pelaporan. Mengelompokkannya sebagai submenu di bawah &quot;Peta &amp; Ekspor&quot; menjaga kerapian sidebar dan memberikan hirarki navigasi yang jelas antara proses input data, analitik, dan pelaporan.</w:t>
  </w:r>
</w:p>
<w:p>
  <w:pPr>
    <w:pBdr>
      <w:left w:val="single" w:sz="36" w:space="16" w:color="2563EB"/>
    </w:pBdr>
    <w:shd w:val="clear" w:color="auto" w:fill="EFF6FF"/>
    <w:spacing w:line="276" w:lineRule="auto" w:before="160" w:after="160"/>
    <w:ind w:left="240" w:right="200"/>
    <w:jc w:val="both"/>
  </w:pPr>
  <w:r>
    <w:rPr>
      <w:rFonts w:ascii="Calibri" w:hAnsi="Calibri"/>
      <w:b/>
      <w:color w:val="1D4ED8"/>
      <w:sz w:val="22"/>
    </w:rPr>
    <w:t xml:space="preserve">📌 Mengapa Badge &quot;SAKIP Sinkron&quot; di Topbar Disembunyikan?: </w:t>
  </w:r>
  <w:r>
    <w:rPr>
      <w:rFonts w:ascii="Calibri" w:hAnsi="Calibri"/>
      <w:color w:val="1E293B"/>
      <w:sz w:val="21"/>
    </w:rPr>
    <w:t>Badge &quot;SAKIP Sinkron&quot; sebelumnya berfungsi mengindikasikan status keselarasan formula perhitungan sistem. Namun, peletakan badge tersebut di navbar atas dinilai menimbulkan kebingungan visual bagi pimpinan dan operator. Oleh karena itu, badge tersebut disembunyikan agar topbar tetap bersih, modern, dan proporsional.</w:t>
  </w:r>
</w:p>
<w:p>
  <w:pPr>
    <w:pBdr>
      <w:left w:val="single" w:sz="36" w:space="16" w:color="F59E0B"/>
    </w:pBdr>
    <w:shd w:val="clear" w:color="auto" w:fill="FFFBEB"/>
    <w:spacing w:line="276" w:lineRule="auto" w:before="160" w:after="160"/>
    <w:ind w:left="240" w:right="200"/>
    <w:jc w:val="both"/>
  </w:pPr>
  <w:r>
    <w:rPr>
      <w:rFonts w:ascii="Calibri" w:hAnsi="Calibri"/>
      <w:b/>
      <w:color w:val="B45309"/>
      <w:sz w:val="22"/>
    </w:rPr>
    <w:t xml:space="preserve">📌 Dampak Penggantian Periode Renstra pada Pengaturan Aplikasi: </w:t>
  </w:r>
  <w:r>
    <w:rPr>
      <w:rFonts w:ascii="Calibri" w:hAnsi="Calibri"/>
      <w:color w:val="1E293B"/>
      <w:sz w:val="21"/>
    </w:rPr>
    <w:t>Mengubah periode Renstra (misal dari 2025–2029 ke periode baru) berdampak pada penyesuaian label periode di dashboard, judul laporan LKjIP, baseline filter tahun perencanaan, dan cakupan matriks target. Perubahan ini AMAN dan TIDAK MENGHAPUS data historis capaian sekolah maupun murid tahun-tahun sebelumnya yang telah tersimpan di database.</w:t>
  </w:r>
</w:p>
<w:p>
  <w:pPr>
    <w:pStyle w:val="Heading1"/>
    <w:pBdr>
      <w:bottom w:val="single" w:sz="12" w:space="6" w:color="1E3A8A"/>
    </w:pBdr>
    <w:spacing w:before="420" w:after="160"/>
  </w:pPr>
  <w:r>
    <w:rPr>
      <w:rFonts w:ascii="Arial" w:hAnsi="Arial"/>
      <w:b/>
      <w:color w:val="1E3A8A"/>
      <w:sz w:val="32"/>
    </w:rPr>
    <w:t>BAB III: PANDUAN RINCI SELURUH MENU APLIKASI</w:t>
  </w:r>
</w:p>
<w:p>
  <w:pPr>
    <w:spacing w:line="276" w:lineRule="auto" w:before="60" w:after="100"/>
    <w:jc w:val="both"/>
  </w:pPr>
  <w:r>
    <w:rPr>
      <w:rFonts w:ascii="Calibri" w:hAnsi="Calibri"/>
      
      
      <w:color w:val="1E293B"/>
      <w:sz w:val="22"/>
    </w:rPr>
    <w:t xml:space="preserve">Bab ini menguraikan secara deskriptif seluruh 17 menu yang ada di dalam aplikasi SIMAK, fungsi utamanya, fitur yang tersedia, sumber data, dan pihak yang berwenang mengelolanya.</w:t>
  </w:r>
</w:p>
<w:p>
  <w:pPr>
    <w:pStyle w:val="Heading2"/>
    <w:spacing w:before="300" w:after="100"/>
  </w:pPr>
  <w:r>
    <w:rPr>
      <w:rFonts w:ascii="Arial" w:hAnsi="Arial"/>
      <w:b/>
      <w:color w:val="0D9488"/>
      <w:sz w:val="26"/>
    </w:rPr>
    <w:t>3.1 Dashboard Kinerja</w:t>
  </w:r>
</w:p>
<w:p>
  <w:pPr>
    <w:spacing w:line="276" w:lineRule="auto" w:before="60" w:after="100"/>
    <w:jc w:val="both"/>
  </w:pPr>
  <w:r>
    <w:rPr>
      <w:rFonts w:ascii="Calibri" w:hAnsi="Calibri"/>
      
      
      <w:color w:val="1E293B"/>
      <w:sz w:val="22"/>
    </w:rPr>
    <w:t xml:space="preserve">Dashboard Kinerja merupakan pusat kendali informasi eksekutif (Executive Summary) yang menyajikan kompilasi capaian seluruh indikator makro pendidikan Banjarnegara secara real-time.</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Utama: </w:t>
  </w:r>
  <w:r>
    <w:rPr>
      <w:rFonts w:ascii="Calibri" w:hAnsi="Calibri"/>
      <w:color w:val="334155"/>
      <w:sz w:val="22"/>
    </w:rPr>
    <w:t>Banner Akuntabilitas Kinerja ringkas, 4 Kartu KPI Utama (APK SD, APK SMP, Guru Sertifikasi, PAUD Akreditasi B), Grafik Garis Tren Capaian vs Target Renstra (Chart.js), Kartu Nilai AKIP &amp; Indikator IPM, Tabel Agregat Kinerja 20 Kecamatan, dan Kompilasi Prestasi Terkini.</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Sumber Data: </w:t>
  </w:r>
  <w:r>
    <w:rPr>
      <w:rFonts w:ascii="Calibri" w:hAnsi="Calibri"/>
      <w:color w:val="334155"/>
      <w:sz w:val="22"/>
    </w:rPr>
    <w:t>Dihitung secara otomatis oleh KinerjaService dari gabungan master data siswa, guru, akreditasi sekolah, penduduk, target renstra, dan realisasi kinerja.</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Otoritas Pengguna: </w:t>
  </w:r>
  <w:r>
    <w:rPr>
      <w:rFonts w:ascii="Calibri" w:hAnsi="Calibri"/>
      <w:color w:val="334155"/>
      <w:sz w:val="22"/>
    </w:rPr>
    <w:t>Dapat diakses oleh seluruh peran (Kepala Dinas, Perencana, Operator, Super Admin).</w:t>
  </w:r>
</w:p>
<w:p>
  <w:pPr>
    <w:pStyle w:val="Heading2"/>
    <w:spacing w:before="300" w:after="100"/>
  </w:pPr>
  <w:r>
    <w:rPr>
      <w:rFonts w:ascii="Arial" w:hAnsi="Arial"/>
      <w:b/>
      <w:color w:val="0D9488"/>
      <w:sz w:val="26"/>
    </w:rPr>
    <w:t>3.2 Satuan Pendidikan (Master Sekolah)</w:t>
  </w:r>
</w:p>
<w:p>
  <w:pPr>
    <w:spacing w:line="276" w:lineRule="auto" w:before="60" w:after="100"/>
    <w:jc w:val="both"/>
  </w:pPr>
  <w:r>
    <w:rPr>
      <w:rFonts w:ascii="Calibri" w:hAnsi="Calibri"/>
      
      
      <w:color w:val="1E293B"/>
      <w:sz w:val="22"/>
    </w:rPr>
    <w:t xml:space="preserve">Menu ini memuat basis data master seluruh satuan pendidikan di Kabupaten Banjarnegara yang mencakup jenjang PAUD/TK, SD/MI, dan SMP/MTs.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Utama: </w:t>
  </w:r>
  <w:r>
    <w:rPr>
      <w:rFonts w:ascii="Calibri" w:hAnsi="Calibri"/>
      <w:color w:val="334155"/>
      <w:sz w:val="22"/>
    </w:rPr>
    <w:t>Tabel DataTable sekolah dengan filter jenjang dan status negeri/swasta, pencarian instan berbasis NPSN atau nama sekolah, modal tambah sekolah baru, modal edit, dan hapus sekolah.</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Indikator Penting: </w:t>
  </w:r>
  <w:r>
    <w:rPr>
      <w:rFonts w:ascii="Calibri" w:hAnsi="Calibri"/>
      <w:color w:val="334155"/>
      <w:sz w:val="22"/>
    </w:rPr>
    <w:t>NPSN, Nama Sekolah, Jenjang, Status (Negeri/Swasta), Peringkat Akreditasi (A, B, C, Belum Terakreditasi), Alamat, dan Titik Koordinat Latitude/Longitude (untuk pemetaan GIS).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Dampak ke Menu Lain: </w:t>
  </w:r>
  <w:r>
    <w:rPr>
      <w:rFonts w:ascii="Calibri" w:hAnsi="Calibri"/>
      <w:color w:val="334155"/>
      <w:sz w:val="22"/>
    </w:rPr>
    <w:t>Akreditasi PAUD di menu ini langsung menentukan persentase capaian indikator PAUD Terakreditasi Minimal B di Dashboard, Matriks Evaluasi, dan LKjIP.</w:t>
  </w:r>
</w:p>
<w:p>
  <w:pPr>
    <w:pStyle w:val="Heading2"/>
    <w:spacing w:before="300" w:after="100"/>
  </w:pPr>
  <w:r>
    <w:rPr>
      <w:rFonts w:ascii="Arial" w:hAnsi="Arial"/>
      <w:b/>
      <w:color w:val="0D9488"/>
      <w:sz w:val="26"/>
    </w:rPr>
    <w:t>3.3 Partisipasi Siswa (Dapodik Rombel)</w:t>
  </w:r>
</w:p>
<w:p>
  <w:pPr>
    <w:spacing w:line="276" w:lineRule="auto" w:before="60" w:after="100"/>
    <w:jc w:val="both"/>
  </w:pPr>
  <w:r>
    <w:rPr>
      <w:rFonts w:ascii="Calibri" w:hAnsi="Calibri"/>
      
      
      <w:color w:val="1E293B"/>
      <w:sz w:val="22"/>
    </w:rPr>
    <w:t xml:space="preserve">Menu pencatatan dan verifikasi data jumlah murid riil yang terdaftar di sekolah pada tahun ajaran aktif.</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Utama: </w:t>
  </w:r>
  <w:r>
    <w:rPr>
      <w:rFonts w:ascii="Calibri" w:hAnsi="Calibri"/>
      <w:color w:val="334155"/>
      <w:sz w:val="22"/>
    </w:rPr>
    <w:t>DataTable jumlah siswa per sekolah, kolom distribusi siswa sesuai usia resmi jenjang, jumlah rombel, modal input manual, dan modal Import CSV/Excel.</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Dampak ke Menu Lain: </w:t>
  </w:r>
  <w:r>
    <w:rPr>
      <w:rFonts w:ascii="Calibri" w:hAnsi="Calibri"/>
      <w:color w:val="334155"/>
      <w:sz w:val="22"/>
    </w:rPr>
    <w:t>Jumlah siswa semua usia menjadi PEMBILANG dalam rumus perhitungan APK. Jumlah siswa usia resmi menjadi PEMBILANG dalam rumus perhitungan APM. Jika data murid berubah, seluruh grafik dan persentase APK/APM di dashboard dan evaluasi akan langsung terkalkulasi ulang otomatis.</w:t>
  </w:r>
</w:p>
<w:p>
  <w:pPr>
    <w:pStyle w:val="Heading2"/>
    <w:spacing w:before="300" w:after="100"/>
  </w:pPr>
  <w:r>
    <w:rPr>
      <w:rFonts w:ascii="Arial" w:hAnsi="Arial"/>
      <w:b/>
      <w:color w:val="0D9488"/>
      <w:sz w:val="26"/>
    </w:rPr>
    <w:t>3.4 Data Guru &amp; Sertifikasi Pendidik</w:t>
  </w:r>
</w:p>
<w:p>
  <w:pPr>
    <w:spacing w:line="276" w:lineRule="auto" w:before="60" w:after="100"/>
    <w:jc w:val="both"/>
  </w:pPr>
  <w:r>
    <w:rPr>
      <w:rFonts w:ascii="Calibri" w:hAnsi="Calibri"/>
      
      
      <w:color w:val="1E293B"/>
      <w:sz w:val="22"/>
    </w:rPr>
    <w:t xml:space="preserve">Menu pengelolaan database tenaga pendidik di lingkungan DINDIKPORA Banjarnegara.</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Utama: </w:t>
  </w:r>
  <w:r>
    <w:rPr>
      <w:rFonts w:ascii="Calibri" w:hAnsi="Calibri"/>
      <w:color w:val="334155"/>
      <w:sz w:val="22"/>
    </w:rPr>
    <w:t>DataTable profil guru, NIP/NUPTK, status kepegawaian (PNS, PPPK, Guru Tetap Yayasan, Honorer), bidang studi pengampu, status sertifikasi pendidik, dan modal import/export data guru.</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Dampak ke Menu Lain: </w:t>
  </w:r>
  <w:r>
    <w:rPr>
      <w:rFonts w:ascii="Calibri" w:hAnsi="Calibri"/>
      <w:color w:val="334155"/>
      <w:sz w:val="22"/>
    </w:rPr>
    <w:t>Perbandingan guru yang sudah memiliki sertifikat pendidik terhadap total guru aktif menghasilkan persentase Capaian Guru Bersertifikasi di Dashboard, Evaluasi Kinerja, dan Laporan LKjIP.</w:t>
  </w:r>
</w:p>
<w:p>
  <w:pPr>
    <w:pStyle w:val="Heading2"/>
    <w:spacing w:before="300" w:after="100"/>
  </w:pPr>
  <w:r>
    <w:rPr>
      <w:rFonts w:ascii="Arial" w:hAnsi="Arial"/>
      <w:b/>
      <w:color w:val="0D9488"/>
      <w:sz w:val="26"/>
    </w:rPr>
    <w:t>3.5 Tujuan 1: Penduduk Usia Sekolah</w:t>
  </w:r>
</w:p>
<w:p>
  <w:pPr>
    <w:spacing w:line="276" w:lineRule="auto" w:before="60" w:after="100"/>
    <w:jc w:val="both"/>
  </w:pPr>
  <w:r>
    <w:rPr>
      <w:rFonts w:ascii="Calibri" w:hAnsi="Calibri"/>
      
      
      <w:color w:val="1E293B"/>
      <w:sz w:val="22"/>
    </w:rPr>
    <w:t xml:space="preserve">Menu input dan pemeliharaan data agregat penduduk anak usia sekolah per kecamatan berdasarkan rilis resmi BPS dan Dinas Dukcapil.</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Utama: </w:t>
  </w:r>
  <w:r>
    <w:rPr>
      <w:rFonts w:ascii="Calibri" w:hAnsi="Calibri"/>
      <w:color w:val="334155"/>
      <w:sz w:val="22"/>
    </w:rPr>
    <w:t>Pencatatan kelompok usia 5–6 tahun (PAUD), 7–12 tahun (SD/MI), 13–15 tahun (SMP/MTs), dan 16–18 tahun (SMA/SMK) di 20 wilayah kecamatan.</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Dampak ke Menu Lain: </w:t>
  </w:r>
  <w:r>
    <w:rPr>
      <w:rFonts w:ascii="Calibri" w:hAnsi="Calibri"/>
      <w:color w:val="334155"/>
      <w:sz w:val="22"/>
    </w:rPr>
    <w:t>Jumlah populasi anak ini menjadi PENYEBUT MUTLAK dalam seluruh formula APK, APM, dan APS. Tanpa data penduduk yang akurat, rasio partisipasi pendidikan tidak dapat dihitung secara valid.</w:t>
  </w:r>
</w:p>
<w:p>
  <w:pPr>
    <w:pStyle w:val="Heading2"/>
    <w:spacing w:before="300" w:after="100"/>
  </w:pPr>
  <w:r>
    <w:rPr>
      <w:rFonts w:ascii="Arial" w:hAnsi="Arial"/>
      <w:b/>
      <w:color w:val="0D9488"/>
      <w:sz w:val="26"/>
    </w:rPr>
    <w:t>3.6 Tujuan 2: Prestasi Peserta Didik</w:t>
  </w:r>
</w:p>
<w:p>
  <w:pPr>
    <w:spacing w:line="276" w:lineRule="auto" w:before="60" w:after="100"/>
    <w:jc w:val="both"/>
  </w:pPr>
  <w:r>
    <w:rPr>
      <w:rFonts w:ascii="Calibri" w:hAnsi="Calibri"/>
      
      
      <w:color w:val="1E293B"/>
      <w:sz w:val="22"/>
    </w:rPr>
    <w:t xml:space="preserve">Pencatatan rekam jejak prestasi dan kejuaraan siswa, baik bidang akademik, sains (OSN), seni (FLS2N), maupun olahraga (O2SN).</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Utama: </w:t>
  </w:r>
  <w:r>
    <w:rPr>
      <w:rFonts w:ascii="Calibri" w:hAnsi="Calibri"/>
      <w:color w:val="334155"/>
      <w:sz w:val="22"/>
    </w:rPr>
    <w:t>Pencatatan nama siswa, asal sekolah, cabang kejuaraan, tingkat (Kecamatan, Kabupaten, Provinsi, Nasional, Internasional), dan peringkat medali.</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Dampak ke Menu Lain: </w:t>
  </w:r>
  <w:r>
    <w:rPr>
      <w:rFonts w:ascii="Calibri" w:hAnsi="Calibri"/>
      <w:color w:val="334155"/>
      <w:sz w:val="22"/>
    </w:rPr>
    <w:t>Data prestasi otomatis ditampilkan pada widget dashboard eksekutif dan terangkum secara resmi pada Bab V Dokumen LKjIP.</w:t>
  </w:r>
</w:p>
<w:p>
  <w:pPr>
    <w:pStyle w:val="Heading2"/>
    <w:spacing w:before="300" w:after="100"/>
  </w:pPr>
  <w:r>
    <w:rPr>
      <w:rFonts w:ascii="Arial" w:hAnsi="Arial"/>
      <w:b/>
      <w:color w:val="0D9488"/>
      <w:sz w:val="26"/>
    </w:rPr>
    <w:t>3.7 Kelompok Menu Hasil &amp; Indikator Kinerja (APK, APM, APS, Guru, PAUD)</w:t>
  </w:r>
</w:p>
<w:p>
  <w:pPr>
    <w:spacing w:line="276" w:lineRule="auto" w:before="60" w:after="100"/>
    <w:jc w:val="both"/>
  </w:pPr>
  <w:r>
    <w:rPr>
      <w:rFonts w:ascii="Calibri" w:hAnsi="Calibri"/>
      
      
      <w:color w:val="1E293B"/>
      <w:sz w:val="22"/>
    </w:rPr>
    <w:t xml:space="preserve">Kelompok menu ini menyajikan analisis komparatif dan rincian ketercapaian per kecamatan untuk kelima pilar indikator mutu pendidikan:</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1. APK (Angka Partisipasi Kasar): </w:t>
  </w:r>
  <w:r>
    <w:rPr>
      <w:rFonts w:ascii="Calibri" w:hAnsi="Calibri"/>
      <w:color w:val="334155"/>
      <w:sz w:val="22"/>
    </w:rPr>
    <w:t>Mengukur daya tampung sekolah tanpa memandang batasan usia siswa. Rumus: (Total Siswa Jenjang / Populasi Usia Jenjang) × 100%.</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2. APM (Angka Partisipasi Murni): </w:t>
  </w:r>
  <w:r>
    <w:rPr>
      <w:rFonts w:ascii="Calibri" w:hAnsi="Calibri"/>
      <w:color w:val="334155"/>
      <w:sz w:val="22"/>
    </w:rPr>
    <w:t>Mengukur partisipasi anak usia resmi sekolah pada jenjang yang tepat. Rumus: (Siswa Usia Resmi di Jenjangnya / Populasi Usia Jenjang) × 100%.</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3. APS (Angka Partisipasi Sekolah): </w:t>
  </w:r>
  <w:r>
    <w:rPr>
      <w:rFonts w:ascii="Calibri" w:hAnsi="Calibri"/>
      <w:color w:val="334155"/>
      <w:sz w:val="22"/>
    </w:rPr>
    <w:t>Mengukur proporsi anak usia sekolah yang masih bersekolah di jenjang manapun. Rumus: (Siswa Usia Jenjang di Semua Sekolah / Populasi Usia Jenjang) × 100%.</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4. Sertifikasi Guru: </w:t>
  </w:r>
  <w:r>
    <w:rPr>
      <w:rFonts w:ascii="Calibri" w:hAnsi="Calibri"/>
      <w:color w:val="334155"/>
      <w:sz w:val="22"/>
    </w:rPr>
    <w:t>Rasio tenaga pendidik profesional bersertifikat pendidik.</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5. Akreditasi PAUD: </w:t>
  </w:r>
  <w:r>
    <w:rPr>
      <w:rFonts w:ascii="Calibri" w:hAnsi="Calibri"/>
      <w:color w:val="334155"/>
      <w:sz w:val="22"/>
    </w:rPr>
    <w:t>Rasio lembaga PAUD dan TK yang telah terakreditasi Badan Akreditasi Nasional minimal peringkat B.</w:t>
  </w:r>
</w:p>
<w:p>
  <w:pPr>
    <w:pStyle w:val="Heading2"/>
    <w:spacing w:before="300" w:after="100"/>
  </w:pPr>
  <w:r>
    <w:rPr>
      <w:rFonts w:ascii="Arial" w:hAnsi="Arial"/>
      <w:b/>
      <w:color w:val="0D9488"/>
      <w:sz w:val="26"/>
    </w:rPr>
    <w:t>3.12 Target Renstra (2025–2029)</w:t>
  </w:r>
</w:p>
<w:p>
  <w:pPr>
    <w:spacing w:line="276" w:lineRule="auto" w:before="60" w:after="100"/>
    <w:jc w:val="both"/>
  </w:pPr>
  <w:r>
    <w:rPr>
      <w:rFonts w:ascii="Calibri" w:hAnsi="Calibri"/>
      
      
      <w:color w:val="1E293B"/>
      <w:sz w:val="22"/>
    </w:rPr>
    <w:t xml:space="preserve">Menu penetapan target kinerja lima tahunan DINDIKPORA Banjarnegara yang diturunkan dari dokumen Rencana Strategis dan RPJMD Daerah.</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Input Target Baru: </w:t>
  </w:r>
  <w:r>
    <w:rPr>
      <w:rFonts w:ascii="Calibri" w:hAnsi="Calibri"/>
      <w:color w:val="334155"/>
      <w:sz w:val="22"/>
    </w:rPr>
    <w:t>Tersedia tombol &quot;Input Target Baru&quot; di header banner dan table card untuk menambahkan proyeksi target capaian pada tahun perencanaan baru (misal: 2026, 2027, dst.).</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Elemen yang Ditetapkan: </w:t>
  </w:r>
  <w:r>
    <w:rPr>
      <w:rFonts w:ascii="Calibri" w:hAnsi="Calibri"/>
      <w:color w:val="334155"/>
      <w:sz w:val="22"/>
    </w:rPr>
    <w:t>Target APK &amp; APM per jenjang, Target APS, Target Persentase Guru Sertifikasi, Target PAUD Akreditasi B, Target Nilai AKIP (Poin), Target RLS (Tahun), Target HLS (Tahun), dan Target IKK Renstra (%).</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Edit &amp; Hapus: </w:t>
  </w:r>
  <w:r>
    <w:rPr>
      <w:rFonts w:ascii="Calibri" w:hAnsi="Calibri"/>
      <w:color w:val="334155"/>
      <w:sz w:val="22"/>
    </w:rPr>
    <w:t>Tiap baris target dapat diubah atau dihapus (dengan konfirmasi aman) apabila terjadi pemutakhiran proyeksi target.</w:t>
  </w:r>
</w:p>
<w:p>
  <w:pPr>
    <w:pStyle w:val="Heading2"/>
    <w:spacing w:before="300" w:after="100"/>
  </w:pPr>
  <w:r>
    <w:rPr>
      <w:rFonts w:ascii="Arial" w:hAnsi="Arial"/>
      <w:b/>
      <w:color w:val="0D9488"/>
      <w:sz w:val="26"/>
    </w:rPr>
    <w:t>3.13 Realisasi Capaian Kinerja</w:t>
  </w:r>
</w:p>
<w:p>
  <w:pPr>
    <w:spacing w:line="276" w:lineRule="auto" w:before="60" w:after="100"/>
    <w:jc w:val="both"/>
  </w:pPr>
  <w:r>
    <w:rPr>
      <w:rFonts w:ascii="Calibri" w:hAnsi="Calibri"/>
      
      
      <w:color w:val="1E293B"/>
      <w:sz w:val="22"/>
    </w:rPr>
    <w:t xml:space="preserve">Menu pencatatan realisasi capaian kinerja resmi tahun berjalan untuk indikator makro SAKIP dan BPS yang telah dimutakhirkan ke dalam format DataTable.</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Input Realisasi Baru: </w:t>
  </w:r>
  <w:r>
    <w:rPr>
      <w:rFonts w:ascii="Calibri" w:hAnsi="Calibri"/>
      <w:color w:val="334155"/>
      <w:sz w:val="22"/>
    </w:rPr>
    <w:t>Tombol &quot;Input Realisasi Baru&quot; membuka form penetapan data realisasi resmi tahun berjalan: Nilai AKIP Tahun N dan N-1, RLS Tahun N dan N-1, HLS Tahun N dan N-1, Capaian IKK Renstra, Status Penilaian SAKIP, Catatan Evaluasi, dan Rekomendasi Kebijakan.</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Tampilan DataTable Matriks: </w:t>
  </w:r>
  <w:r>
    <w:rPr>
      <w:rFonts w:ascii="Calibri" w:hAnsi="Calibri"/>
      <w:color w:val="334155"/>
      <w:sz w:val="22"/>
    </w:rPr>
    <w:t>Menggantikan tampilan kartu lama menjadi tabel berdensitas tinggi dengan filter pencarian instan, sorting dinamis, kolom Pertumbuhan AKIP otomatis, tombol &quot;Lihat Catatan&quot; pop-up, serta tombol Edit dan Hapus.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Dampak ke Menu Lain: </w:t>
  </w:r>
  <w:r>
    <w:rPr>
      <w:rFonts w:ascii="Calibri" w:hAnsi="Calibri"/>
      <w:color w:val="334155"/>
      <w:sz w:val="22"/>
    </w:rPr>
    <w:t>Sangat vital! Data realisasi tahunan ini menjadi sumber rujukan utama untuk Gap Analysis pada menu Evaluasi Kinerja, visualisasi kartu capaian dan grafik tren di Dashboard, serta narasi Bab IV Dokumen LKjIP.</w:t>
  </w:r>
</w:p>
<w:p>
  <w:pPr>
    <w:pStyle w:val="Heading2"/>
    <w:spacing w:before="300" w:after="100"/>
  </w:pPr>
  <w:r>
    <w:rPr>
      <w:rFonts w:ascii="Arial" w:hAnsi="Arial"/>
      <w:b/>
      <w:color w:val="0D9488"/>
      <w:sz w:val="26"/>
    </w:rPr>
    <w:t>3.14 Evaluasi Kinerja (Gap Analysis &amp; Analisis Deviasi)</w:t>
  </w:r>
</w:p>
<w:p>
  <w:pPr>
    <w:spacing w:line="276" w:lineRule="auto" w:before="60" w:after="100"/>
    <w:jc w:val="both"/>
  </w:pPr>
  <w:r>
    <w:rPr>
      <w:rFonts w:ascii="Calibri" w:hAnsi="Calibri"/>
      
      
      <w:color w:val="1E293B"/>
      <w:sz w:val="22"/>
    </w:rPr>
    <w:t xml:space="preserve">Menu analitik kesenjangan kinerja antara Target Renstra yang telah ditetapkan dengan Realisasi yang dicapai di lapangan.</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Perhitungan Otomatis: </w:t>
  </w:r>
  <w:r>
    <w:rPr>
      <w:rFonts w:ascii="Calibri" w:hAnsi="Calibri"/>
      <w:color w:val="334155"/>
      <w:sz w:val="22"/>
    </w:rPr>
    <w:t>Sistem secara otomatis menghitung selisih deviasi (Realisasi - Target), persentase ketercapaian target (% Capaian), serta menetapkan status capaian (Tercapai / Mendekati / Perlu Intervensi).</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Form Narasi Evaluasi &amp; Rekomendasi: </w:t>
  </w:r>
  <w:r>
    <w:rPr>
      <w:rFonts w:ascii="Calibri" w:hAnsi="Calibri"/>
      <w:color w:val="334155"/>
      <w:sz w:val="22"/>
    </w:rPr>
    <w:t>Di bagian bawah tabel gap analysis, perencana dapat mengisi atau memperbarui narasi faktor pendukung/penghambat capaian kinerja serta rekomendasi kebijakan dinas yang tersimpan langsung ke database.</w:t>
  </w:r>
</w:p>
<w:p>
  <w:pPr>
    <w:pStyle w:val="Heading2"/>
    <w:spacing w:before="300" w:after="100"/>
  </w:pPr>
  <w:r>
    <w:rPr>
      <w:rFonts w:ascii="Arial" w:hAnsi="Arial"/>
      <w:b/>
      <w:color w:val="0D9488"/>
      <w:sz w:val="26"/>
    </w:rPr>
    <w:t>3.15 Dokumen LKjIP Resmi (Standar Cetak A4)</w:t>
  </w:r>
</w:p>
<w:p>
  <w:pPr>
    <w:spacing w:line="276" w:lineRule="auto" w:before="60" w:after="100"/>
    <w:jc w:val="both"/>
  </w:pPr>
  <w:r>
    <w:rPr>
      <w:rFonts w:ascii="Calibri" w:hAnsi="Calibri"/>
      
      
      <w:color w:val="1E293B"/>
      <w:sz w:val="22"/>
    </w:rPr>
    <w:t xml:space="preserve">Laporan Kinerja Instansi Pemerintah (LKjIP) resmi yang digenerate otomatis oleh sistem dalam format tata naskah dinas siap cetak (kertas A4 / PDF).</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Struktur Dokumen: </w:t>
  </w:r>
  <w:r>
    <w:rPr>
      <w:rFonts w:ascii="Calibri" w:hAnsi="Calibri"/>
      <w:color w:val="334155"/>
      <w:sz w:val="22"/>
    </w:rPr>
    <w:t>Memuat Kop Surat Resmi Pemkab Banjarnegara dengan lambang daerah, Kata Pengantar, Bab I Pendahuluan, Bab II Capaian Indikator Kinerja Makro, Bab III Matriks Kinerja &amp; Evaluasi, Bab IV Catatan Evaluasi &amp; Rekomendasi Kebijakan, Bab V Rekapitulasi Prestasi Siswa, serta Lembar Pengesahan Tanda Tangan Kepala Dinas.</w:t>
  </w:r>
</w:p>
<w:p>
  <w:pPr>
    <w:pStyle w:val="Heading2"/>
    <w:spacing w:before="300" w:after="100"/>
  </w:pPr>
  <w:r>
    <w:rPr>
      <w:rFonts w:ascii="Arial" w:hAnsi="Arial"/>
      <w:b/>
      <w:color w:val="0D9488"/>
      <w:sz w:val="26"/>
    </w:rPr>
    <w:t>3.16 Peta Sebaran GIS 20 Kecamatan</w:t>
  </w:r>
</w:p>
<w:p>
  <w:pPr>
    <w:spacing w:line="276" w:lineRule="auto" w:before="60" w:after="100"/>
    <w:jc w:val="both"/>
  </w:pPr>
  <w:r>
    <w:rPr>
      <w:rFonts w:ascii="Calibri" w:hAnsi="Calibri"/>
      
      
      <w:color w:val="1E293B"/>
      <w:sz w:val="22"/>
    </w:rPr>
    <w:t xml:space="preserve">Modul Geographic Information System (GIS) interaktif berbasis peta digital SVG 20 wilayah kecamatan di Kabupaten Banjarnegara.</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Fitur Interaktif: </w:t>
  </w:r>
  <w:r>
    <w:rPr>
      <w:rFonts w:ascii="Calibri" w:hAnsi="Calibri"/>
      <w:color w:val="334155"/>
      <w:sz w:val="22"/>
    </w:rPr>
    <w:t>Kloroplet gradasi warna wilayah berdasarkan tingkat capaian APK/APM, tooltips informasi demografi saat kursor diarahkan ke kecamatan, dan fitur drilldown untuk melihat sebaran titik koordinat sekolah di kecamatan terpilih.</w:t>
  </w:r>
</w:p>
<w:p>
  <w:pPr>
    <w:pStyle w:val="Heading2"/>
    <w:spacing w:before="300" w:after="100"/>
  </w:pPr>
  <w:r>
    <w:rPr>
      <w:rFonts w:ascii="Arial" w:hAnsi="Arial"/>
      <w:b/>
      <w:color w:val="0D9488"/>
      <w:sz w:val="26"/>
    </w:rPr>
    <w:t>3.17 Unduh Data Excel (.xlsx / CSV)</w:t>
  </w:r>
</w:p>
<w:p>
  <w:pPr>
    <w:spacing w:line="276" w:lineRule="auto" w:before="60" w:after="100"/>
    <w:jc w:val="both"/>
  </w:pPr>
  <w:r>
    <w:rPr>
      <w:rFonts w:ascii="Calibri" w:hAnsi="Calibri"/>
      
      
      <w:color w:val="1E293B"/>
      <w:sz w:val="22"/>
    </w:rPr>
    <w:t xml:space="preserve">Modul ekspor data rekapitulasi kinerja lengkap untuk keperluan audit BPK, BPKP, Inspektorat, atau arsip dinas.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Format Ekspor: </w:t>
  </w:r>
  <w:r>
    <w:rPr>
      <w:rFonts w:ascii="Calibri" w:hAnsi="Calibri"/>
      <w:color w:val="334155"/>
      <w:sz w:val="22"/>
    </w:rPr>
    <w:t>Tersedia ekspor tabel rekapitulasi 20 kecamatan, data agregat demografi penduduk usia sekolah, profil sekolah, dan rincian prestasi peserta didik.</w:t>
  </w:r>
</w:p>
<w:p>
  <w:pPr>
    <w:pStyle w:val="Heading2"/>
    <w:spacing w:before="300" w:after="100"/>
  </w:pPr>
  <w:r>
    <w:rPr>
      <w:rFonts w:ascii="Arial" w:hAnsi="Arial"/>
      <w:b/>
      <w:color w:val="0D9488"/>
      <w:sz w:val="26"/>
    </w:rPr>
    <w:t>3.18 Pengaturan Aplikasi &amp; Manajemen Pengguna</w:t>
  </w:r>
</w:p>
<w:p>
  <w:pPr>
    <w:spacing w:line="276" w:lineRule="auto" w:before="60" w:after="100"/>
    <w:jc w:val="both"/>
  </w:pPr>
  <w:r>
    <w:rPr>
      <w:rFonts w:ascii="Calibri" w:hAnsi="Calibri"/>
      
      
      <w:color w:val="1E293B"/>
      <w:sz w:val="22"/>
    </w:rPr>
    <w:t xml:space="preserve">Pusat tata kelola konfigurasi aplikasi yang hanya dapat diakses oleh peran Super Admin:</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Pengaturan Aplikasi: </w:t>
  </w:r>
  <w:r>
    <w:rPr>
      <w:rFonts w:ascii="Calibri" w:hAnsi="Calibri"/>
      <w:color w:val="334155"/>
      <w:sz w:val="22"/>
    </w:rPr>
    <w:t>Modal konfigurasi nama instansi resmi, periode Renstra aktif, tahun evaluasi default, dan mode rumus APK (Kemendikbudristek resmi).</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Manajemen Pengguna: </w:t>
  </w:r>
  <w:r>
    <w:rPr>
      <w:rFonts w:ascii="Calibri" w:hAnsi="Calibri"/>
      <w:color w:val="334155"/>
      <w:sz w:val="22"/>
    </w:rPr>
    <w:t>Pengelolaan akun pengguna (Nama, Email, NIP, Jabatan, Peran, dan Wilayah Tugas Kecamatan bagi operator).</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Matriks Hak Akses: </w:t>
  </w:r>
  <w:r>
    <w:rPr>
      <w:rFonts w:ascii="Calibri" w:hAnsi="Calibri"/>
      <w:color w:val="334155"/>
      <w:sz w:val="22"/>
    </w:rPr>
    <w:t>Pengaturan centang izin akses menu untuk masing-masing role.</w:t>
  </w:r>
</w:p>
<w:p>
  <w:pPr>
    <w:pStyle w:val="Heading2"/>
    <w:spacing w:before="300" w:after="100"/>
  </w:pPr>
  <w:r>
    <w:rPr>
      <w:rFonts w:ascii="Arial" w:hAnsi="Arial"/>
      <w:b/>
      <w:color w:val="0D9488"/>
      <w:sz w:val="26"/>
    </w:rPr>
    <w:t>3.19 Log Audit Trail &amp; Panduan SOP SAKIP</w:t>
  </w:r>
</w:p>
<w:p>
  <w:pPr>
    <w:spacing w:line="276" w:lineRule="auto" w:before="60" w:after="100"/>
    <w:jc w:val="both"/>
  </w:pPr>
  <w:r>
    <w:rPr>
      <w:rFonts w:ascii="Calibri" w:hAnsi="Calibri"/>
      
      
      <w:color w:val="1E293B"/>
      <w:sz w:val="22"/>
    </w:rPr>
    <w:t xml:space="preserve">Instrumen pengawasan integritas data digital:</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Log Audit Trail: </w:t>
  </w:r>
  <w:r>
    <w:rPr>
      <w:rFonts w:ascii="Calibri" w:hAnsi="Calibri"/>
      <w:color w:val="334155"/>
      <w:sz w:val="22"/>
    </w:rPr>
    <w:t>Mencatat secara kronologis setiap aktivitas CREATE, UPDATE, dan DELETE di seluruh modul sistem, lengkap dengan nama user, peran, IP address, waktu kejadian, dan deskripsi perubahan.</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Panduan SOP &amp; Glosarium SAKIP: </w:t>
  </w:r>
  <w:r>
    <w:rPr>
      <w:rFonts w:ascii="Calibri" w:hAnsi="Calibri"/>
      <w:color w:val="334155"/>
      <w:sz w:val="22"/>
    </w:rPr>
    <w:t>Pusat pengetahuan internal dinas yang memuat penjelasan rumus, definisi operasional indikator, serta Standar Operasional Prosedur pengumpulan data kinerja.</w:t>
  </w:r>
</w:p>
<w:p>
  <w:pPr>
    <w:pStyle w:val="Heading1"/>
    <w:pBdr>
      <w:bottom w:val="single" w:sz="12" w:space="6" w:color="1E3A8A"/>
    </w:pBdr>
    <w:spacing w:before="420" w:after="160"/>
  </w:pPr>
  <w:r>
    <w:rPr>
      <w:rFonts w:ascii="Arial" w:hAnsi="Arial"/>
      <w:b/>
      <w:color w:val="1E3A8A"/>
      <w:sz w:val="32"/>
    </w:rPr>
    <w:t>BAB IV: MATRIKS RELASI &amp; DAMPAK PERUBAHAN ANTAR MENU</w:t>
  </w:r>
</w:p>
<w:p>
  <w:pPr>
    <w:pStyle w:val="Heading2"/>
    <w:spacing w:before="300" w:after="100"/>
  </w:pPr>
  <w:r>
    <w:rPr>
      <w:rFonts w:ascii="Arial" w:hAnsi="Arial"/>
      <w:b/>
      <w:color w:val="0D9488"/>
      <w:sz w:val="26"/>
    </w:rPr>
    <w:t>4.1 Diagram Alir Data Sistem (Data Flow Pipeline)</w:t>
  </w:r>
</w:p>
<w:p>
  <w:pPr>
    <w:spacing w:line="276" w:lineRule="auto" w:before="60" w:after="100"/>
    <w:jc w:val="both"/>
  </w:pPr>
  <w:r>
    <w:rPr>
      <w:rFonts w:ascii="Calibri" w:hAnsi="Calibri"/>
      
      
      <w:color w:val="1E293B"/>
      <w:sz w:val="22"/>
    </w:rPr>
    <w:t xml:space="preserve">Sistem SIMAK bekerja dengan model data pipeline terintegrasi. Data operasional mentah diolah menjadi indikator komposit, kemudian disandingkan dengan target perencanaan, dan bermuara pada laporan akuntabilitas resmi:</w:t>
  </w:r>
</w:p>
<w:tbl>  <w:tblPr>
    <w:tblW w:w="9600" w:type="dxa"/>
    <w:tblBorders>
      <w:top w:val="single" w:sz="6" w:space="0" w:color="CBD5E1"/>
      <w:left w:val="none"/>
      <w:bottom w:val="single" w:sz="8" w:space="0" w:color="94A3B8"/>
      <w:right w:val="none"/>
      <w:insideH w:val="single" w:sz="4" w:space="0" w:color="E2E8F0"/>
      <w:insideV w:val="none"/>
    </w:tblBorders>
    <w:tblCellMar>
      <w:top w:w="120" w:type="dxa"/>
      <w:left w:w="140" w:type="dxa"/>
      <w:bottom w:w="120" w:type="dxa"/>
      <w:right w:w="140" w:type="dxa"/>
    </w:tblCellMar>
  </w:tblPr><w:tr><w:trPr><w:tblHeader/><w:cantSplit/></w:trPr>    <w:tc>
      <w:tcPr>
        <w:tcW w:w="1600" w:type="dxa"/>
        <w:shd w:val="clear" w:color="auto" w:fill="1E3A8A"/>
      </w:tcPr>
      <w:p>
        <w:pPr>
          <w:spacing w:before="60" w:after="60"/>
        </w:pPr>
        <w:r>
          <w:rPr>
            <w:rFonts w:ascii="Arial" w:hAnsi="Arial"/>
            <w:b/>
            <w:color w:val="FFFFFF"/>
            <w:sz w:val="20"/>
          </w:rPr>
          <w:t>Tahapan Alur</w:t>
        </w:r>
      </w:p>
    </w:tc>    <w:tc>
      <w:tcPr>
        <w:tcW w:w="2400" w:type="dxa"/>
        <w:shd w:val="clear" w:color="auto" w:fill="1E3A8A"/>
      </w:tcPr>
      <w:p>
        <w:pPr>
          <w:spacing w:before="60" w:after="60"/>
        </w:pPr>
        <w:r>
          <w:rPr>
            <w:rFonts w:ascii="Arial" w:hAnsi="Arial"/>
            <w:b/>
            <w:color w:val="FFFFFF"/>
            <w:sz w:val="20"/>
          </w:rPr>
          <w:t>Modul Menu Terkait</w:t>
        </w:r>
      </w:p>
    </w:tc>    <w:tc>
      <w:tcPr>
        <w:tcW w:w="3800" w:type="dxa"/>
        <w:shd w:val="clear" w:color="auto" w:fill="1E3A8A"/>
      </w:tcPr>
      <w:p>
        <w:pPr>
          <w:spacing w:before="60" w:after="60"/>
        </w:pPr>
        <w:r>
          <w:rPr>
            <w:rFonts w:ascii="Arial" w:hAnsi="Arial"/>
            <w:b/>
            <w:color w:val="FFFFFF"/>
            <w:sz w:val="20"/>
          </w:rPr>
          <w:t>Jenis Data / Proses</w:t>
        </w:r>
      </w:p>
    </w:tc>    <w:tc>
      <w:tcPr>
        <w:tcW w:w="1800" w:type="dxa"/>
        <w:shd w:val="clear" w:color="auto" w:fill="1E3A8A"/>
      </w:tcPr>
      <w:p>
        <w:pPr>
          <w:spacing w:before="60" w:after="60"/>
        </w:pPr>
        <w:r>
          <w:rPr>
            <w:rFonts w:ascii="Arial" w:hAnsi="Arial"/>
            <w:b/>
            <w:color w:val="FFFFFF"/>
            <w:sz w:val="20"/>
          </w:rPr>
          <w:t>Pengguna Bertanggung Jawab</w:t>
        </w:r>
      </w:p>
    </w:tc></w:tr><w:tr><w:trPr><w:cantSplit/></w:trPr>    <w:tc>
      <w:tcPr>
        <w:tcW w:w="1600" w:type="dxa"/>
        <w:shd w:val="clear" w:color="auto" w:fill="FFFFFF"/>
      </w:tcPr>
      <w:p>
        <w:pPr>
          <w:spacing w:line="240" w:lineRule="auto" w:before="50" w:after="50"/>
        </w:pPr>
        <w:r>
          <w:rPr>
            <w:rFonts w:ascii="Calibri" w:hAnsi="Calibri"/>
            <w:color w:val="1E293B"/>
            <w:sz w:val="20"/>
          </w:rPr>
          <w:t>Tahap 1: Master Data</w:t>
        </w:r>
      </w:p>
    </w:tc>    <w:tc>
      <w:tcPr>
        <w:tcW w:w="2400" w:type="dxa"/>
        <w:shd w:val="clear" w:color="auto" w:fill="FFFFFF"/>
      </w:tcPr>
      <w:p>
        <w:pPr>
          <w:spacing w:line="240" w:lineRule="auto" w:before="50" w:after="50"/>
        </w:pPr>
        <w:r>
          <w:rPr>
            <w:rFonts w:ascii="Calibri" w:hAnsi="Calibri"/>
            <w:color w:val="1E293B"/>
            <w:sz w:val="20"/>
          </w:rPr>
          <w:t>Sekolah, Siswa (Dapodik), Guru, Penduduk (Tujuan 1)</w:t>
        </w:r>
      </w:p>
    </w:tc>    <w:tc>
      <w:tcPr>
        <w:tcW w:w="3800" w:type="dxa"/>
        <w:shd w:val="clear" w:color="auto" w:fill="FFFFFF"/>
      </w:tcPr>
      <w:p>
        <w:pPr>
          <w:spacing w:line="240" w:lineRule="auto" w:before="50" w:after="50"/>
        </w:pPr>
        <w:r>
          <w:rPr>
            <w:rFonts w:ascii="Calibri" w:hAnsi="Calibri"/>
            <w:color w:val="1E293B"/>
            <w:sz w:val="20"/>
          </w:rPr>
          <w:t>Data riil murid rombel, sertifikasi guru, akreditasi sekolah, dan jumlah populasi penduduk anak usia sekolah per kecamatan.</w:t>
        </w:r>
      </w:p>
    </w:tc>    <w:tc>
      <w:tcPr>
        <w:tcW w:w="1800" w:type="dxa"/>
        <w:shd w:val="clear" w:color="auto" w:fill="FFFFFF"/>
      </w:tcPr>
      <w:p>
        <w:pPr>
          <w:spacing w:line="240" w:lineRule="auto" w:before="50" w:after="50"/>
        </w:pPr>
        <w:r>
          <w:rPr>
            <w:rFonts w:ascii="Calibri" w:hAnsi="Calibri"/>
            <w:color w:val="1E293B"/>
            <w:sz w:val="20"/>
          </w:rPr>
          <w:t>Operator Kecamatan &amp; Perencana</w:t>
        </w:r>
      </w:p>
    </w:tc></w:tr><w:tr><w:trPr><w:cantSplit/></w:trPr>    <w:tc>
      <w:tcPr>
        <w:tcW w:w="1600" w:type="dxa"/>
        <w:shd w:val="clear" w:color="auto" w:fill="F8FAFC"/>
      </w:tcPr>
      <w:p>
        <w:pPr>
          <w:spacing w:line="240" w:lineRule="auto" w:before="50" w:after="50"/>
        </w:pPr>
        <w:r>
          <w:rPr>
            <w:rFonts w:ascii="Calibri" w:hAnsi="Calibri"/>
            <w:color w:val="1E293B"/>
            <w:sz w:val="20"/>
          </w:rPr>
          <w:t>Tahap 2: Kalkulasi Makro</w:t>
        </w:r>
      </w:p>
    </w:tc>    <w:tc>
      <w:tcPr>
        <w:tcW w:w="2400" w:type="dxa"/>
        <w:shd w:val="clear" w:color="auto" w:fill="F8FAFC"/>
      </w:tcPr>
      <w:p>
        <w:pPr>
          <w:spacing w:line="240" w:lineRule="auto" w:before="50" w:after="50"/>
        </w:pPr>
        <w:r>
          <w:rPr>
            <w:rFonts w:ascii="Calibri" w:hAnsi="Calibri"/>
            <w:color w:val="1E293B"/>
            <w:sz w:val="20"/>
          </w:rPr>
          <w:t>APK, APM, APS, Indikator Guru, Indikator PAUD</w:t>
        </w:r>
      </w:p>
    </w:tc>    <w:tc>
      <w:tcPr>
        <w:tcW w:w="3800" w:type="dxa"/>
        <w:shd w:val="clear" w:color="auto" w:fill="F8FAFC"/>
      </w:tcPr>
      <w:p>
        <w:pPr>
          <w:spacing w:line="240" w:lineRule="auto" w:before="50" w:after="50"/>
        </w:pPr>
        <w:r>
          <w:rPr>
            <w:rFonts w:ascii="Calibri" w:hAnsi="Calibri"/>
            <w:color w:val="1E293B"/>
            <w:sz w:val="20"/>
          </w:rPr>
          <w:t>Mesin komputasi KinerjaService menghitung rasio partisipasi kasar, murni, dan mutu pendidik secara otomatis.</w:t>
        </w:r>
      </w:p>
    </w:tc>    <w:tc>
      <w:tcPr>
        <w:tcW w:w="1800" w:type="dxa"/>
        <w:shd w:val="clear" w:color="auto" w:fill="F8FAFC"/>
      </w:tcPr>
      <w:p>
        <w:pPr>
          <w:spacing w:line="240" w:lineRule="auto" w:before="50" w:after="50"/>
        </w:pPr>
        <w:r>
          <w:rPr>
            <w:rFonts w:ascii="Calibri" w:hAnsi="Calibri"/>
            <w:color w:val="1E293B"/>
            <w:sz w:val="20"/>
          </w:rPr>
          <w:t>Sistem (Kalkulasi Otomatis)</w:t>
        </w:r>
      </w:p>
    </w:tc></w:tr><w:tr><w:trPr><w:cantSplit/></w:trPr>    <w:tc>
      <w:tcPr>
        <w:tcW w:w="1600" w:type="dxa"/>
        <w:shd w:val="clear" w:color="auto" w:fill="FFFFFF"/>
      </w:tcPr>
      <w:p>
        <w:pPr>
          <w:spacing w:line="240" w:lineRule="auto" w:before="50" w:after="50"/>
        </w:pPr>
        <w:r>
          <w:rPr>
            <w:rFonts w:ascii="Calibri" w:hAnsi="Calibri"/>
            <w:color w:val="1E293B"/>
            <w:sz w:val="20"/>
          </w:rPr>
          <w:t>Tahap 3: Perencanaan &amp; SAKIP</w:t>
        </w:r>
      </w:p>
    </w:tc>    <w:tc>
      <w:tcPr>
        <w:tcW w:w="2400" w:type="dxa"/>
        <w:shd w:val="clear" w:color="auto" w:fill="FFFFFF"/>
      </w:tcPr>
      <w:p>
        <w:pPr>
          <w:spacing w:line="240" w:lineRule="auto" w:before="50" w:after="50"/>
        </w:pPr>
        <w:r>
          <w:rPr>
            <w:rFonts w:ascii="Calibri" w:hAnsi="Calibri"/>
            <w:color w:val="1E293B"/>
            <w:sz w:val="20"/>
          </w:rPr>
          <w:t>Target Renstra &amp; Realisasi Capaian Kinerja</w:t>
        </w:r>
      </w:p>
    </w:tc>    <w:tc>
      <w:tcPr>
        <w:tcW w:w="3800" w:type="dxa"/>
        <w:shd w:val="clear" w:color="auto" w:fill="FFFFFF"/>
      </w:tcPr>
      <w:p>
        <w:pPr>
          <w:spacing w:line="240" w:lineRule="auto" w:before="50" w:after="50"/>
        </w:pPr>
        <w:r>
          <w:rPr>
            <w:rFonts w:ascii="Calibri" w:hAnsi="Calibri"/>
            <w:color w:val="1E293B"/>
            <w:sz w:val="20"/>
          </w:rPr>
          <w:t>Penetapan target proyeksi 5 tahunan serta pencatatan realisasi indikator makro tahunan (Nilai AKIP, RLS, HLS, IKK Renstra).</w:t>
        </w:r>
      </w:p>
    </w:tc>    <w:tc>
      <w:tcPr>
        <w:tcW w:w="1800" w:type="dxa"/>
        <w:shd w:val="clear" w:color="auto" w:fill="FFFFFF"/>
      </w:tcPr>
      <w:p>
        <w:pPr>
          <w:spacing w:line="240" w:lineRule="auto" w:before="50" w:after="50"/>
        </w:pPr>
        <w:r>
          <w:rPr>
            <w:rFonts w:ascii="Calibri" w:hAnsi="Calibri"/>
            <w:color w:val="1E293B"/>
            <w:sz w:val="20"/>
          </w:rPr>
          <w:t>Tim Perencana Dinas</w:t>
        </w:r>
      </w:p>
    </w:tc></w:tr><w:tr><w:trPr><w:cantSplit/></w:trPr>    <w:tc>
      <w:tcPr>
        <w:tcW w:w="1600" w:type="dxa"/>
        <w:shd w:val="clear" w:color="auto" w:fill="F8FAFC"/>
      </w:tcPr>
      <w:p>
        <w:pPr>
          <w:spacing w:line="240" w:lineRule="auto" w:before="50" w:after="50"/>
        </w:pPr>
        <w:r>
          <w:rPr>
            <w:rFonts w:ascii="Calibri" w:hAnsi="Calibri"/>
            <w:color w:val="1E293B"/>
            <w:sz w:val="20"/>
          </w:rPr>
          <w:t>Tahap 4: Analisis Kesenjangan</w:t>
        </w:r>
      </w:p>
    </w:tc>    <w:tc>
      <w:tcPr>
        <w:tcW w:w="2400" w:type="dxa"/>
        <w:shd w:val="clear" w:color="auto" w:fill="F8FAFC"/>
      </w:tcPr>
      <w:p>
        <w:pPr>
          <w:spacing w:line="240" w:lineRule="auto" w:before="50" w:after="50"/>
        </w:pPr>
        <w:r>
          <w:rPr>
            <w:rFonts w:ascii="Calibri" w:hAnsi="Calibri"/>
            <w:color w:val="1E293B"/>
            <w:sz w:val="20"/>
          </w:rPr>
          <w:t>Evaluasi Kinerja (Gap Analysis)</w:t>
        </w:r>
      </w:p>
    </w:tc>    <w:tc>
      <w:tcPr>
        <w:tcW w:w="3800" w:type="dxa"/>
        <w:shd w:val="clear" w:color="auto" w:fill="F8FAFC"/>
      </w:tcPr>
      <w:p>
        <w:pPr>
          <w:spacing w:line="240" w:lineRule="auto" w:before="50" w:after="50"/>
        </w:pPr>
        <w:r>
          <w:rPr>
            <w:rFonts w:ascii="Calibri" w:hAnsi="Calibri"/>
            <w:color w:val="1E293B"/>
            <w:sz w:val="20"/>
          </w:rPr>
          <w:t>Menyandingkan Target vs Realisasi untuk menghasilkan Deviasi, % Capaian, Status Kinerja, dan Rekomendasi Kebijakan.</w:t>
        </w:r>
      </w:p>
    </w:tc>    <w:tc>
      <w:tcPr>
        <w:tcW w:w="1800" w:type="dxa"/>
        <w:shd w:val="clear" w:color="auto" w:fill="F8FAFC"/>
      </w:tcPr>
      <w:p>
        <w:pPr>
          <w:spacing w:line="240" w:lineRule="auto" w:before="50" w:after="50"/>
        </w:pPr>
        <w:r>
          <w:rPr>
            <w:rFonts w:ascii="Calibri" w:hAnsi="Calibri"/>
            <w:color w:val="1E293B"/>
            <w:sz w:val="20"/>
          </w:rPr>
          <w:t>Perencana &amp; Tim SAKIP</w:t>
        </w:r>
      </w:p>
    </w:tc></w:tr><w:tr><w:trPr><w:cantSplit/></w:trPr>    <w:tc>
      <w:tcPr>
        <w:tcW w:w="1600" w:type="dxa"/>
        <w:shd w:val="clear" w:color="auto" w:fill="FFFFFF"/>
      </w:tcPr>
      <w:p>
        <w:pPr>
          <w:spacing w:line="240" w:lineRule="auto" w:before="50" w:after="50"/>
        </w:pPr>
        <w:r>
          <w:rPr>
            <w:rFonts w:ascii="Calibri" w:hAnsi="Calibri"/>
            <w:color w:val="1E293B"/>
            <w:sz w:val="20"/>
          </w:rPr>
          <w:t>Tahap 5: Output Eksekutif</w:t>
        </w:r>
      </w:p>
    </w:tc>    <w:tc>
      <w:tcPr>
        <w:tcW w:w="2400" w:type="dxa"/>
        <w:shd w:val="clear" w:color="auto" w:fill="FFFFFF"/>
      </w:tcPr>
      <w:p>
        <w:pPr>
          <w:spacing w:line="240" w:lineRule="auto" w:before="50" w:after="50"/>
        </w:pPr>
        <w:r>
          <w:rPr>
            <w:rFonts w:ascii="Calibri" w:hAnsi="Calibri"/>
            <w:color w:val="1E293B"/>
            <w:sz w:val="20"/>
          </w:rPr>
          <w:t>Dashboard Kinerja, Peta GIS, Dokumen LKjIP</w:t>
        </w:r>
      </w:p>
    </w:tc>    <w:tc>
      <w:tcPr>
        <w:tcW w:w="3800" w:type="dxa"/>
        <w:shd w:val="clear" w:color="auto" w:fill="FFFFFF"/>
      </w:tcPr>
      <w:p>
        <w:pPr>
          <w:spacing w:line="240" w:lineRule="auto" w:before="50" w:after="50"/>
        </w:pPr>
        <w:r>
          <w:rPr>
            <w:rFonts w:ascii="Calibri" w:hAnsi="Calibri"/>
            <w:color w:val="1E293B"/>
            <w:sz w:val="20"/>
          </w:rPr>
          <w:t>Penyajian visual grafik tren capaian, kartu peringatan dini (EWS), peta tematik wilayah, dan cetak naskah LKjIP resmi.</w:t>
        </w:r>
      </w:p>
    </w:tc>    <w:tc>
      <w:tcPr>
        <w:tcW w:w="1800" w:type="dxa"/>
        <w:shd w:val="clear" w:color="auto" w:fill="FFFFFF"/>
      </w:tcPr>
      <w:p>
        <w:pPr>
          <w:spacing w:line="240" w:lineRule="auto" w:before="50" w:after="50"/>
        </w:pPr>
        <w:r>
          <w:rPr>
            <w:rFonts w:ascii="Calibri" w:hAnsi="Calibri"/>
            <w:color w:val="1E293B"/>
            <w:sz w:val="20"/>
          </w:rPr>
          <w:t>Kepala Dinas &amp; Eksekutif Pemkab</w:t>
        </w:r>
      </w:p>
    </w:tc></w:tr></w:tbl>
<w:p><w:pPr><w:spacing w:before="0" w:after="160"/></w:pPr></w:p>
<w:p>
  <w:pPr>
    <w:pStyle w:val="Heading2"/>
    <w:spacing w:before="300" w:after="100"/>
  </w:pPr>
  <w:r>
    <w:rPr>
      <w:rFonts w:ascii="Arial" w:hAnsi="Arial"/>
      <w:b/>
      <w:color w:val="0D9488"/>
      <w:sz w:val="26"/>
    </w:rPr>
    <w:t>4.2 Matriks Dampak &amp; Keterkaitan Antar Menu</w:t>
  </w:r>
</w:p>
<w:p>
  <w:pPr>
    <w:spacing w:line="276" w:lineRule="auto" w:before="60" w:after="100"/>
    <w:jc w:val="both"/>
  </w:pPr>
  <w:r>
    <w:rPr>
      <w:rFonts w:ascii="Calibri" w:hAnsi="Calibri"/>
      
      
      <w:color w:val="1E293B"/>
      <w:sz w:val="22"/>
    </w:rPr>
    <w:t xml:space="preserve">Tabel berikut merangkum hubungan sebab-akibat ketika terjadi penambahan atau perubahan data pada menu tertentu terhadap bagian sistem lainnya:</w:t>
  </w:r>
</w:p>
<w:tbl>  <w:tblPr>
    <w:tblW w:w="9600" w:type="dxa"/>
    <w:tblBorders>
      <w:top w:val="single" w:sz="6" w:space="0" w:color="CBD5E1"/>
      <w:left w:val="none"/>
      <w:bottom w:val="single" w:sz="8" w:space="0" w:color="94A3B8"/>
      <w:right w:val="none"/>
      <w:insideH w:val="single" w:sz="4" w:space="0" w:color="E2E8F0"/>
      <w:insideV w:val="none"/>
    </w:tblBorders>
    <w:tblCellMar>
      <w:top w:w="120" w:type="dxa"/>
      <w:left w:w="140" w:type="dxa"/>
      <w:bottom w:w="120" w:type="dxa"/>
      <w:right w:w="140" w:type="dxa"/>
    </w:tblCellMar>
  </w:tblPr><w:tr><w:trPr><w:tblHeader/><w:cantSplit/></w:trPr>    <w:tc>
      <w:tcPr>
        <w:tcW w:w="2400" w:type="dxa"/>
        <w:shd w:val="clear" w:color="auto" w:fill="1E3A8A"/>
      </w:tcPr>
      <w:p>
        <w:pPr>
          <w:spacing w:before="60" w:after="60"/>
        </w:pPr>
        <w:r>
          <w:rPr>
            <w:rFonts w:ascii="Arial" w:hAnsi="Arial"/>
            <w:b/>
            <w:color w:val="FFFFFF"/>
            <w:sz w:val="20"/>
          </w:rPr>
          <w:t>Jika Anda Mengubah / Input Pada Menu:</w:t>
        </w:r>
      </w:p>
    </w:tc>    <w:tc>
      <w:tcPr>
        <w:tcW w:w="2600" w:type="dxa"/>
        <w:shd w:val="clear" w:color="auto" w:fill="1E3A8A"/>
      </w:tcPr>
      <w:p>
        <w:pPr>
          <w:spacing w:before="60" w:after="60"/>
        </w:pPr>
        <w:r>
          <w:rPr>
            <w:rFonts w:ascii="Arial" w:hAnsi="Arial"/>
            <w:b/>
            <w:color w:val="FFFFFF"/>
            <w:sz w:val="20"/>
          </w:rPr>
          <w:t>Menu / Komponen yang Terpengaruh Langsung:</w:t>
        </w:r>
      </w:p>
    </w:tc>    <w:tc>
      <w:tcPr>
        <w:tcW w:w="4600" w:type="dxa"/>
        <w:shd w:val="clear" w:color="auto" w:fill="1E3A8A"/>
      </w:tcPr>
      <w:p>
        <w:pPr>
          <w:spacing w:before="60" w:after="60"/>
        </w:pPr>
        <w:r>
          <w:rPr>
            <w:rFonts w:ascii="Arial" w:hAnsi="Arial"/>
            <w:b/>
            <w:color w:val="FFFFFF"/>
            <w:sz w:val="20"/>
          </w:rPr>
          <w:t>Bentuk Dampak &amp; Perubahan yang Terjadi:</w:t>
        </w:r>
      </w:p>
    </w:tc></w:tr><w:tr><w:trPr><w:cantSplit/></w:trPr>    <w:tc>
      <w:tcPr>
        <w:tcW w:w="2400" w:type="dxa"/>
        <w:shd w:val="clear" w:color="auto" w:fill="FFFFFF"/>
      </w:tcPr>
      <w:p>
        <w:pPr>
          <w:spacing w:line="240" w:lineRule="auto" w:before="50" w:after="50"/>
        </w:pPr>
        <w:r>
          <w:rPr>
            <w:rFonts w:ascii="Calibri" w:hAnsi="Calibri"/>
            <w:color w:val="1E293B"/>
            <w:sz w:val="20"/>
          </w:rPr>
          <w:t>Partisipasi Siswa (Dapodik)</w:t>
        </w:r>
      </w:p>
    </w:tc>    <w:tc>
      <w:tcPr>
        <w:tcW w:w="2600" w:type="dxa"/>
        <w:shd w:val="clear" w:color="auto" w:fill="FFFFFF"/>
      </w:tcPr>
      <w:p>
        <w:pPr>
          <w:spacing w:line="240" w:lineRule="auto" w:before="50" w:after="50"/>
        </w:pPr>
        <w:r>
          <w:rPr>
            <w:rFonts w:ascii="Calibri" w:hAnsi="Calibri"/>
            <w:color w:val="1E293B"/>
            <w:sz w:val="20"/>
          </w:rPr>
          <w:t>APK, APM, APS, Dashboard, Evaluasi Kinerja, Peta GIS, LKjIP</w:t>
        </w:r>
      </w:p>
    </w:tc>    <w:tc>
      <w:tcPr>
        <w:tcW w:w="4600" w:type="dxa"/>
        <w:shd w:val="clear" w:color="auto" w:fill="FFFFFF"/>
      </w:tcPr>
      <w:p>
        <w:pPr>
          <w:spacing w:line="240" w:lineRule="auto" w:before="50" w:after="50"/>
        </w:pPr>
        <w:r>
          <w:rPr>
            <w:rFonts w:ascii="Calibri" w:hAnsi="Calibri"/>
            <w:color w:val="1E293B"/>
            <w:sz w:val="20"/>
          </w:rPr>
          <w:t>Mengubah angka pembilang partisipasi murid. Grafik APK/APM di Dashboard, pewarnaan kloroplet Peta Sebaran, dan tabel Bab II LKjIP langsung terhitung ulang.</w:t>
        </w:r>
      </w:p>
    </w:tc></w:tr><w:tr><w:trPr><w:cantSplit/></w:trPr>    <w:tc>
      <w:tcPr>
        <w:tcW w:w="2400" w:type="dxa"/>
        <w:shd w:val="clear" w:color="auto" w:fill="F8FAFC"/>
      </w:tcPr>
      <w:p>
        <w:pPr>
          <w:spacing w:line="240" w:lineRule="auto" w:before="50" w:after="50"/>
        </w:pPr>
        <w:r>
          <w:rPr>
            <w:rFonts w:ascii="Calibri" w:hAnsi="Calibri"/>
            <w:color w:val="1E293B"/>
            <w:sz w:val="20"/>
          </w:rPr>
          <w:t>Data Guru &amp; Pendidik</w:t>
        </w:r>
      </w:p>
    </w:tc>    <w:tc>
      <w:tcPr>
        <w:tcW w:w="2600" w:type="dxa"/>
        <w:shd w:val="clear" w:color="auto" w:fill="F8FAFC"/>
      </w:tcPr>
      <w:p>
        <w:pPr>
          <w:spacing w:line="240" w:lineRule="auto" w:before="50" w:after="50"/>
        </w:pPr>
        <w:r>
          <w:rPr>
            <w:rFonts w:ascii="Calibri" w:hAnsi="Calibri"/>
            <w:color w:val="1E293B"/>
            <w:sz w:val="20"/>
          </w:rPr>
          <w:t>Indikator Guru Sertifikasi, Dashboard, Evaluasi Kinerja, LKjIP</w:t>
        </w:r>
      </w:p>
    </w:tc>    <w:tc>
      <w:tcPr>
        <w:tcW w:w="4600" w:type="dxa"/>
        <w:shd w:val="clear" w:color="auto" w:fill="F8FAFC"/>
      </w:tcPr>
      <w:p>
        <w:pPr>
          <w:spacing w:line="240" w:lineRule="auto" w:before="50" w:after="50"/>
        </w:pPr>
        <w:r>
          <w:rPr>
            <w:rFonts w:ascii="Calibri" w:hAnsi="Calibri"/>
            <w:color w:val="1E293B"/>
            <w:sz w:val="20"/>
          </w:rPr>
          <w:t>Mengubah persentase sertifikasi pendidik daerah di dashboard eksekutif dan memicu perubahan status gap analysis ketercapaian mutu guru.</w:t>
        </w:r>
      </w:p>
    </w:tc></w:tr><w:tr><w:trPr><w:cantSplit/></w:trPr>    <w:tc>
      <w:tcPr>
        <w:tcW w:w="2400" w:type="dxa"/>
        <w:shd w:val="clear" w:color="auto" w:fill="FFFFFF"/>
      </w:tcPr>
      <w:p>
        <w:pPr>
          <w:spacing w:line="240" w:lineRule="auto" w:before="50" w:after="50"/>
        </w:pPr>
        <w:r>
          <w:rPr>
            <w:rFonts w:ascii="Calibri" w:hAnsi="Calibri"/>
            <w:color w:val="1E293B"/>
            <w:sz w:val="20"/>
          </w:rPr>
          <w:t>Satuan Pendidikan (Sekolah)</w:t>
        </w:r>
      </w:p>
    </w:tc>    <w:tc>
      <w:tcPr>
        <w:tcW w:w="2600" w:type="dxa"/>
        <w:shd w:val="clear" w:color="auto" w:fill="FFFFFF"/>
      </w:tcPr>
      <w:p>
        <w:pPr>
          <w:spacing w:line="240" w:lineRule="auto" w:before="50" w:after="50"/>
        </w:pPr>
        <w:r>
          <w:rPr>
            <w:rFonts w:ascii="Calibri" w:hAnsi="Calibri"/>
            <w:color w:val="1E293B"/>
            <w:sz w:val="20"/>
          </w:rPr>
          <w:t>Indikator PAUD Akreditasi B, Dashboard, Peta GIS</w:t>
        </w:r>
      </w:p>
    </w:tc>    <w:tc>
      <w:tcPr>
        <w:tcW w:w="4600" w:type="dxa"/>
        <w:shd w:val="clear" w:color="auto" w:fill="FFFFFF"/>
      </w:tcPr>
      <w:p>
        <w:pPr>
          <w:spacing w:line="240" w:lineRule="auto" w:before="50" w:after="50"/>
        </w:pPr>
        <w:r>
          <w:rPr>
            <w:rFonts w:ascii="Calibri" w:hAnsi="Calibri"/>
            <w:color w:val="1E293B"/>
            <w:sz w:val="20"/>
          </w:rPr>
          <w:t>Mengubah status akreditasi kelembagaan PAUD serta memperbarui sebaran titik koordinat sekolah pada peta interaktif GIS.</w:t>
        </w:r>
      </w:p>
    </w:tc></w:tr><w:tr><w:trPr><w:cantSplit/></w:trPr>    <w:tc>
      <w:tcPr>
        <w:tcW w:w="2400" w:type="dxa"/>
        <w:shd w:val="clear" w:color="auto" w:fill="F8FAFC"/>
      </w:tcPr>
      <w:p>
        <w:pPr>
          <w:spacing w:line="240" w:lineRule="auto" w:before="50" w:after="50"/>
        </w:pPr>
        <w:r>
          <w:rPr>
            <w:rFonts w:ascii="Calibri" w:hAnsi="Calibri"/>
            <w:color w:val="1E293B"/>
            <w:sz w:val="20"/>
          </w:rPr>
          <w:t>Penduduk Usia Sekolah (Tujuan 1)</w:t>
        </w:r>
      </w:p>
    </w:tc>    <w:tc>
      <w:tcPr>
        <w:tcW w:w="2600" w:type="dxa"/>
        <w:shd w:val="clear" w:color="auto" w:fill="F8FAFC"/>
      </w:tcPr>
      <w:p>
        <w:pPr>
          <w:spacing w:line="240" w:lineRule="auto" w:before="50" w:after="50"/>
        </w:pPr>
        <w:r>
          <w:rPr>
            <w:rFonts w:ascii="Calibri" w:hAnsi="Calibri"/>
            <w:color w:val="1E293B"/>
            <w:sz w:val="20"/>
          </w:rPr>
          <w:t>Seluruh Indikator Partisipasi (APK, APM, APS)</w:t>
        </w:r>
      </w:p>
    </w:tc>    <w:tc>
      <w:tcPr>
        <w:tcW w:w="4600" w:type="dxa"/>
        <w:shd w:val="clear" w:color="auto" w:fill="F8FAFC"/>
      </w:tcPr>
      <w:p>
        <w:pPr>
          <w:spacing w:line="240" w:lineRule="auto" w:before="50" w:after="50"/>
        </w:pPr>
        <w:r>
          <w:rPr>
            <w:rFonts w:ascii="Calibri" w:hAnsi="Calibri"/>
            <w:color w:val="1E293B"/>
            <w:sz w:val="20"/>
          </w:rPr>
          <w:t>Mengubah angka penyebut demografi. Jika data penduduk diperbarui, persentase seluruh jenjang (PAUD, SD, SMP, SMA) langsung berubah otomatis.</w:t>
        </w:r>
      </w:p>
    </w:tc></w:tr><w:tr><w:trPr><w:cantSplit/></w:trPr>    <w:tc>
      <w:tcPr>
        <w:tcW w:w="2400" w:type="dxa"/>
        <w:shd w:val="clear" w:color="auto" w:fill="FFFFFF"/>
      </w:tcPr>
      <w:p>
        <w:pPr>
          <w:spacing w:line="240" w:lineRule="auto" w:before="50" w:after="50"/>
        </w:pPr>
        <w:r>
          <w:rPr>
            <w:rFonts w:ascii="Calibri" w:hAnsi="Calibri"/>
            <w:color w:val="1E293B"/>
            <w:sz w:val="20"/>
          </w:rPr>
          <w:t>Target Renstra</w:t>
        </w:r>
      </w:p>
    </w:tc>    <w:tc>
      <w:tcPr>
        <w:tcW w:w="2600" w:type="dxa"/>
        <w:shd w:val="clear" w:color="auto" w:fill="FFFFFF"/>
      </w:tcPr>
      <w:p>
        <w:pPr>
          <w:spacing w:line="240" w:lineRule="auto" w:before="50" w:after="50"/>
        </w:pPr>
        <w:r>
          <w:rPr>
            <w:rFonts w:ascii="Calibri" w:hAnsi="Calibri"/>
            <w:color w:val="1E293B"/>
            <w:sz w:val="20"/>
          </w:rPr>
          <w:t>Evaluasi Kinerja, Dashboard (Grafik Tren), Dokumen LKjIP</w:t>
        </w:r>
      </w:p>
    </w:tc>    <w:tc>
      <w:tcPr>
        <w:tcW w:w="4600" w:type="dxa"/>
        <w:shd w:val="clear" w:color="auto" w:fill="FFFFFF"/>
      </w:tcPr>
      <w:p>
        <w:pPr>
          <w:spacing w:line="240" w:lineRule="auto" w:before="50" w:after="50"/>
        </w:pPr>
        <w:r>
          <w:rPr>
            <w:rFonts w:ascii="Calibri" w:hAnsi="Calibri"/>
            <w:color w:val="1E293B"/>
            <w:sz w:val="20"/>
          </w:rPr>
          <w:t>Menjadi tolok ukur garis biru target pada grafik dashboard, angka pembanding deviasi di matriks evaluasi, dan tabel target Bab III LKjIP.</w:t>
        </w:r>
      </w:p>
    </w:tc></w:tr><w:tr><w:trPr><w:cantSplit/></w:trPr>    <w:tc>
      <w:tcPr>
        <w:tcW w:w="2400" w:type="dxa"/>
        <w:shd w:val="clear" w:color="auto" w:fill="F8FAFC"/>
      </w:tcPr>
      <w:p>
        <w:pPr>
          <w:spacing w:line="240" w:lineRule="auto" w:before="50" w:after="50"/>
        </w:pPr>
        <w:r>
          <w:rPr>
            <w:rFonts w:ascii="Calibri" w:hAnsi="Calibri"/>
            <w:color w:val="1E293B"/>
            <w:sz w:val="20"/>
          </w:rPr>
          <w:t>Realisasi Capaian Kinerja</w:t>
        </w:r>
      </w:p>
    </w:tc>    <w:tc>
      <w:tcPr>
        <w:tcW w:w="2600" w:type="dxa"/>
        <w:shd w:val="clear" w:color="auto" w:fill="F8FAFC"/>
      </w:tcPr>
      <w:p>
        <w:pPr>
          <w:spacing w:line="240" w:lineRule="auto" w:before="50" w:after="50"/>
        </w:pPr>
        <w:r>
          <w:rPr>
            <w:rFonts w:ascii="Calibri" w:hAnsi="Calibri"/>
            <w:color w:val="1E293B"/>
            <w:sz w:val="20"/>
          </w:rPr>
          <w:t>Evaluasi Kinerja (Gap Analysis), Dashboard Utama, Dokumen LKjIP</w:t>
        </w:r>
      </w:p>
    </w:tc>    <w:tc>
      <w:tcPr>
        <w:tcW w:w="4600" w:type="dxa"/>
        <w:shd w:val="clear" w:color="auto" w:fill="F8FAFC"/>
      </w:tcPr>
      <w:p>
        <w:pPr>
          <w:spacing w:line="240" w:lineRule="auto" w:before="50" w:after="50"/>
        </w:pPr>
        <w:r>
          <w:rPr>
            <w:rFonts w:ascii="Calibri" w:hAnsi="Calibri"/>
            <w:color w:val="1E293B"/>
            <w:sz w:val="20"/>
          </w:rPr>
          <w:t>Mengubah skor Nilai AKIP, RLS, HLS, dan IKK Renstra di kartu indikator dashboard, menghitung deviasi ketercapaian, dan mengisi narasi Bab IV LKjIP.</w:t>
        </w:r>
      </w:p>
    </w:tc></w:tr><w:tr><w:trPr><w:cantSplit/></w:trPr>    <w:tc>
      <w:tcPr>
        <w:tcW w:w="2400" w:type="dxa"/>
        <w:shd w:val="clear" w:color="auto" w:fill="FFFFFF"/>
      </w:tcPr>
      <w:p>
        <w:pPr>
          <w:spacing w:line="240" w:lineRule="auto" w:before="50" w:after="50"/>
        </w:pPr>
        <w:r>
          <w:rPr>
            <w:rFonts w:ascii="Calibri" w:hAnsi="Calibri"/>
            <w:color w:val="1E293B"/>
            <w:sz w:val="20"/>
          </w:rPr>
          <w:t>Evaluasi Kinerja (Form Catatan)</w:t>
        </w:r>
      </w:p>
    </w:tc>    <w:tc>
      <w:tcPr>
        <w:tcW w:w="2600" w:type="dxa"/>
        <w:shd w:val="clear" w:color="auto" w:fill="FFFFFF"/>
      </w:tcPr>
      <w:p>
        <w:pPr>
          <w:spacing w:line="240" w:lineRule="auto" w:before="50" w:after="50"/>
        </w:pPr>
        <w:r>
          <w:rPr>
            <w:rFonts w:ascii="Calibri" w:hAnsi="Calibri"/>
            <w:color w:val="1E293B"/>
            <w:sz w:val="20"/>
          </w:rPr>
          <w:t>Realisasi Capaian Kinerja, Dokumen LKjIP Bab IV</w:t>
        </w:r>
      </w:p>
    </w:tc>    <w:tc>
      <w:tcPr>
        <w:tcW w:w="4600" w:type="dxa"/>
        <w:shd w:val="clear" w:color="auto" w:fill="FFFFFF"/>
      </w:tcPr>
      <w:p>
        <w:pPr>
          <w:spacing w:line="240" w:lineRule="auto" w:before="50" w:after="50"/>
        </w:pPr>
        <w:r>
          <w:rPr>
            <w:rFonts w:ascii="Calibri" w:hAnsi="Calibri"/>
            <w:color w:val="1E293B"/>
            <w:sz w:val="20"/>
          </w:rPr>
          <w:t>Catatan analisis dan rekomendasi yang disimpan pada menu Evaluasi otomatis tersimpan ke tabel realisasi dan tercetak pada naskah resmi LKjIP.</w:t>
        </w:r>
      </w:p>
    </w:tc></w:tr><w:tr><w:trPr><w:cantSplit/></w:trPr>    <w:tc>
      <w:tcPr>
        <w:tcW w:w="2400" w:type="dxa"/>
        <w:shd w:val="clear" w:color="auto" w:fill="F8FAFC"/>
      </w:tcPr>
      <w:p>
        <w:pPr>
          <w:spacing w:line="240" w:lineRule="auto" w:before="50" w:after="50"/>
        </w:pPr>
        <w:r>
          <w:rPr>
            <w:rFonts w:ascii="Calibri" w:hAnsi="Calibri"/>
            <w:color w:val="1E293B"/>
            <w:sz w:val="20"/>
          </w:rPr>
          <w:t>Pengaturan Aplikasi (Periode Renstra)</w:t>
        </w:r>
      </w:p>
    </w:tc>    <w:tc>
      <w:tcPr>
        <w:tcW w:w="2600" w:type="dxa"/>
        <w:shd w:val="clear" w:color="auto" w:fill="F8FAFC"/>
      </w:tcPr>
      <w:p>
        <w:pPr>
          <w:spacing w:line="240" w:lineRule="auto" w:before="50" w:after="50"/>
        </w:pPr>
        <w:r>
          <w:rPr>
            <w:rFonts w:ascii="Calibri" w:hAnsi="Calibri"/>
            <w:color w:val="1E293B"/>
            <w:sz w:val="20"/>
          </w:rPr>
          <w:t>Dashboard, Target Renstra, Header LKjIP</w:t>
        </w:r>
      </w:p>
    </w:tc>    <w:tc>
      <w:tcPr>
        <w:tcW w:w="4600" w:type="dxa"/>
        <w:shd w:val="clear" w:color="auto" w:fill="F8FAFC"/>
      </w:tcPr>
      <w:p>
        <w:pPr>
          <w:spacing w:line="240" w:lineRule="auto" w:before="50" w:after="50"/>
        </w:pPr>
        <w:r>
          <w:rPr>
            <w:rFonts w:ascii="Calibri" w:hAnsi="Calibri"/>
            <w:color w:val="1E293B"/>
            <w:sz w:val="20"/>
          </w:rPr>
          <w:t>Menyesuaikan label periode tahun pada dashboard dan kop dokumen LKjIP tanpa menghapus data historis sekolah/siswa.</w:t>
        </w:r>
      </w:p>
    </w:tc></w:tr></w:tbl>
<w:p><w:pPr><w:spacing w:before="0" w:after="160"/></w:pPr></w:p>
<w:p>
  <w:pPr>
    <w:pStyle w:val="Heading2"/>
    <w:spacing w:before="300" w:after="100"/>
  </w:pPr>
  <w:r>
    <w:rPr>
      <w:rFonts w:ascii="Arial" w:hAnsi="Arial"/>
      <w:b/>
      <w:color w:val="0D9488"/>
      <w:sz w:val="26"/>
    </w:rPr>
    <w:t>4.3 Penjelasan Dampak Data Realisasi terhadap Kalkulasi Sistem</w:t>
  </w:r>
</w:p>
<w:p>
  <w:pPr>
    <w:spacing w:line="276" w:lineRule="auto" w:before="60" w:after="100"/>
    <w:jc w:val="both"/>
  </w:pPr>
  <w:r>
    <w:rPr>
      <w:rFonts w:ascii="Calibri" w:hAnsi="Calibri"/>
      
      
      <w:color w:val="1E293B"/>
      <w:sz w:val="22"/>
    </w:rPr>
    <w:t xml:space="preserve">Sebagai penegasan atas konsep arsitektur SIMAK, data dari menu Realisasi Capaian Kinerja memiliki peran sentral sebagai berikut:</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1. Mempengaruhi Gap Analysis SAKIP: </w:t>
  </w:r>
  <w:r>
    <w:rPr>
      <w:rFonts w:ascii="Calibri" w:hAnsi="Calibri"/>
      <w:color w:val="334155"/>
      <w:sz w:val="22"/>
    </w:rPr>
    <w:t>Dari 10 indikator di tabel Evaluasi Kinerja, sebanyak 4 indikator (Nilai AKIP, RLS BPS, HLS BPS, dan IKK Renstra) mengambil angka realisasi murni dari menu ini untuk menghitung deviasi dan persentase capaian.</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2. Mempengaruhi Kartu &amp; Grafik Dashboard: </w:t>
  </w:r>
  <w:r>
    <w:rPr>
      <w:rFonts w:ascii="Calibri" w:hAnsi="Calibri"/>
      <w:color w:val="334155"/>
      <w:sz w:val="22"/>
    </w:rPr>
    <w:t>Kartu &quot;Nilai AKIP &amp; Indikator Makro&quot; serta titik kurva hijau realisasi pada grafik garis Renstra mengambil data dari tabel realisasi.</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3. Mempengaruhi Naskah Resmi LKjIP: </w:t>
  </w:r>
  <w:r>
    <w:rPr>
      <w:rFonts w:ascii="Calibri" w:hAnsi="Calibri"/>
      <w:color w:val="334155"/>
      <w:sz w:val="22"/>
    </w:rPr>
    <w:t>Narasi catatan faktor pendukung/penghambat serta butir-butir rekomendasi kebijakan yang tercetak pada Bab IV LKjIP bersumber langsung dari data menu ini.</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4. Yang TIDAK Dipengaruhi oleh Menu Realisasi: </w:t>
  </w:r>
  <w:r>
    <w:rPr>
      <w:rFonts w:ascii="Calibri" w:hAnsi="Calibri"/>
      <w:color w:val="334155"/>
      <w:sz w:val="22"/>
    </w:rPr>
    <w:t>Indikator operasional pendidikan (APK SD/SMP, APM SD/SMP, APS, Persentase Guru Sertifikasi, dan PAUD Akreditasi B) TIDAK dipengaruhi oleh menu ini, melainkan dihitung murni secara matematis dari master data sekolah, siswa, guru, dan penduduk.</w:t>
  </w:r>
</w:p>
<w:p>
  <w:pPr>
    <w:pStyle w:val="Heading1"/>
    <w:pBdr>
      <w:bottom w:val="single" w:sz="12" w:space="6" w:color="1E3A8A"/>
    </w:pBdr>
    <w:spacing w:before="420" w:after="160"/>
  </w:pPr>
  <w:r>
    <w:rPr>
      <w:rFonts w:ascii="Arial" w:hAnsi="Arial"/>
      <w:b/>
      <w:color w:val="1E3A8A"/>
      <w:sz w:val="32"/>
    </w:rPr>
    <w:t>BAB V: PANDUAN PENGOPERASIAN FITUR-FITUR BARU</w:t>
  </w:r>
</w:p>
<w:p>
  <w:pPr>
    <w:pStyle w:val="Heading2"/>
    <w:spacing w:before="300" w:after="100"/>
  </w:pPr>
  <w:r>
    <w:rPr>
      <w:rFonts w:ascii="Arial" w:hAnsi="Arial"/>
      <w:b/>
      <w:color w:val="0D9488"/>
      <w:sz w:val="26"/>
    </w:rPr>
    <w:t>5.1 Panduan Input Target Renstra Baru</w:t>
  </w:r>
</w:p>
<w:p>
  <w:pPr>
    <w:spacing w:line="276" w:lineRule="auto" w:before="60" w:after="100"/>
    <w:jc w:val="both"/>
  </w:pPr>
  <w:r>
    <w:rPr>
      <w:rFonts w:ascii="Calibri" w:hAnsi="Calibri"/>
      
      
      <w:color w:val="1E293B"/>
      <w:sz w:val="22"/>
    </w:rPr>
    <w:t xml:space="preserve">Langkah-langkah menambahkan proyeksi target Renstra untuk tahun perencanaan berikutnya:</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1: </w:t>
  </w:r>
  <w:r>
    <w:rPr>
      <w:rFonts w:ascii="Calibri" w:hAnsi="Calibri"/>
      <w:color w:val="334155"/>
      <w:sz w:val="22"/>
    </w:rPr>
    <w:t>Buka menu &quot;Target Renstra (2025–2029)&quot; pada kelompok menu Renstra &amp; Akuntabilitas.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2: </w:t>
  </w:r>
  <w:r>
    <w:rPr>
      <w:rFonts w:ascii="Calibri" w:hAnsi="Calibri"/>
      <w:color w:val="334155"/>
      <w:sz w:val="22"/>
    </w:rPr>
    <w:t>Klik tombol berwarna biru &quot;Input Target Baru&quot; pada bagian banner atas atau header tabel.</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3: </w:t>
  </w:r>
  <w:r>
    <w:rPr>
      <w:rFonts w:ascii="Calibri" w:hAnsi="Calibri"/>
      <w:color w:val="334155"/>
      <w:sz w:val="22"/>
    </w:rPr>
    <w:t>Pada modal yang muncul, sistem otomatis menyarankan tahun berikutnya (misal: 2026 atau 2030). Pastikan tahun tersebut belum pernah diinputkan sebelumnya.</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4: </w:t>
  </w:r>
  <w:r>
    <w:rPr>
      <w:rFonts w:ascii="Calibri" w:hAnsi="Calibri"/>
      <w:color w:val="334155"/>
      <w:sz w:val="22"/>
    </w:rPr>
    <w:t>Isikan seluruh proyeksi indikator sesuai dokumen perencanaan resmi dinas: APK &amp; APM (PAUD, SD, SMP, SMA), APS, Mutu Guru Sertifikasi, PAUD Akreditasi B, Target AKIP, RLS, HLS, dan IKK Renstra.</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5: </w:t>
  </w:r>
  <w:r>
    <w:rPr>
      <w:rFonts w:ascii="Calibri" w:hAnsi="Calibri"/>
      <w:color w:val="334155"/>
      <w:sz w:val="22"/>
    </w:rPr>
    <w:t>Klik &quot;Simpan Data Target&quot;. Data baru akan langsung muncul di baris tabel matriks dan otomatis tercatat pada Log Audit Trail.</w:t>
  </w:r>
</w:p>
<w:p>
  <w:pPr>
    <w:pStyle w:val="Heading2"/>
    <w:spacing w:before="300" w:after="100"/>
  </w:pPr>
  <w:r>
    <w:rPr>
      <w:rFonts w:ascii="Arial" w:hAnsi="Arial"/>
      <w:b/>
      <w:color w:val="0D9488"/>
      <w:sz w:val="26"/>
    </w:rPr>
    <w:t>5.2 Panduan Input Realisasi Capaian Kinerja Baru &amp; Fitur DataTable</w:t>
  </w:r>
</w:p>
<w:p>
  <w:pPr>
    <w:spacing w:line="276" w:lineRule="auto" w:before="60" w:after="100"/>
    <w:jc w:val="both"/>
  </w:pPr>
  <w:r>
    <w:rPr>
      <w:rFonts w:ascii="Calibri" w:hAnsi="Calibri"/>
      
      
      <w:color w:val="1E293B"/>
      <w:sz w:val="22"/>
    </w:rPr>
    <w:t xml:space="preserve">Langkah-langkah menambahkan realisasi capaian kinerja resmi pada format DataTable baru:</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1: </w:t>
  </w:r>
  <w:r>
    <w:rPr>
      <w:rFonts w:ascii="Calibri" w:hAnsi="Calibri"/>
      <w:color w:val="334155"/>
      <w:sz w:val="22"/>
    </w:rPr>
    <w:t>Buka menu &quot;Realisasi Capaian Kinerja&quot; pada kelompok menu Renstra &amp; Akuntabilitas.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2: </w:t>
  </w:r>
  <w:r>
    <w:rPr>
      <w:rFonts w:ascii="Calibri" w:hAnsi="Calibri"/>
      <w:color w:val="334155"/>
      <w:sz w:val="22"/>
    </w:rPr>
    <w:t>Klik tombol berwarna hijau &quot;Input Realisasi Baru&quot; di banner atas.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3: </w:t>
  </w:r>
  <w:r>
    <w:rPr>
      <w:rFonts w:ascii="Calibri" w:hAnsi="Calibri"/>
      <w:color w:val="334155"/>
      <w:sz w:val="22"/>
    </w:rPr>
    <w:t>Isikan Tahun Kinerja Anggaran (misal: 2026).</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4: </w:t>
  </w:r>
  <w:r>
    <w:rPr>
      <w:rFonts w:ascii="Calibri" w:hAnsi="Calibri"/>
      <w:color w:val="334155"/>
      <w:sz w:val="22"/>
    </w:rPr>
    <w:t>Masukkan capaian IKK Renstra (%), pilih Predikat Status SAKIP (Sangat Baik / Baik / Cukup / Kurang), masukkan Nilai AKIP Tahun N dan Tahun N-1, serta capaian RLS dan HLS dari rilis data BPS.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5: </w:t>
  </w:r>
  <w:r>
    <w:rPr>
      <w:rFonts w:ascii="Calibri" w:hAnsi="Calibri"/>
      <w:color w:val="334155"/>
      <w:sz w:val="22"/>
    </w:rPr>
    <w:t>Tuliskan catatan analisis faktor pendukung/penghambat dan rekomendasi kebijakan tindak lanjut dinas.</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Langkah 6: </w:t>
  </w:r>
  <w:r>
    <w:rPr>
      <w:rFonts w:ascii="Calibri" w:hAnsi="Calibri"/>
      <w:color w:val="334155"/>
      <w:sz w:val="22"/>
    </w:rPr>
    <w:t>Klik &quot;Simpan Realisasi&quot;. Data akan muncul dalam tabel DataTable yang dapat dicari dan diurutkan.</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Melihat Catatan Lengkap: </w:t>
  </w:r>
  <w:r>
    <w:rPr>
      <w:rFonts w:ascii="Calibri" w:hAnsi="Calibri"/>
      <w:color w:val="334155"/>
      <w:sz w:val="22"/>
    </w:rPr>
    <w:t>Untuk membaca catatan evaluasi dan rekomendasi tanpa memenuhi tampilan tabel, klik tombol &quot;Lihat Catatan&quot; berikon mata pada kolom Catatan &amp; Saran untuk membuka jendela pratinjau pop-up.</w:t>
  </w:r>
</w:p>
<w:p>
  <w:pPr>
    <w:pStyle w:val="Heading2"/>
    <w:spacing w:before="300" w:after="100"/>
  </w:pPr>
  <w:r>
    <w:rPr>
      <w:rFonts w:ascii="Arial" w:hAnsi="Arial"/>
      <w:b/>
      <w:color w:val="0D9488"/>
      <w:sz w:val="26"/>
    </w:rPr>
    <w:t>5.3 Panduan Manajemen Pengguna &amp; Pengaturan Hak Akses</w:t>
  </w:r>
</w:p>
<w:p>
  <w:pPr>
    <w:spacing w:line="276" w:lineRule="auto" w:before="60" w:after="100"/>
    <w:jc w:val="both"/>
  </w:pPr>
  <w:r>
    <w:rPr>
      <w:rFonts w:ascii="Calibri" w:hAnsi="Calibri"/>
      
      
      <w:color w:val="1E293B"/>
      <w:sz w:val="22"/>
    </w:rPr>
    <w:t xml:space="preserve">Bagi Administrator Sistem (Super Admin), penambahan pengguna dan pengelolaan izin menu dilakukan melalui langkah berikut:</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1. Tambah Akun Pengguna: </w:t>
  </w:r>
  <w:r>
    <w:rPr>
      <w:rFonts w:ascii="Calibri" w:hAnsi="Calibri"/>
      <w:color w:val="334155"/>
      <w:sz w:val="22"/>
    </w:rPr>
    <w:t>Buka menu &quot;Pengaturan Aplikasi&quot; &gt; submenu &quot;Manajemen Pengguna&quot;. Klik &quot;Tambah Pengguna Baru&quot;. Masukkan Nama, Email, Password, NIP, Jabatan, dan pilih Peran (Kepala Dinas, Perencana, Operator, atau Super Admin). Khusus operator, tentukan kecamatan wilayah tugasnya.</w:t>
  </w:r>
</w:p>
<w:p>
  <w:pPr>
    <w:ind w:left="480" w:hanging="240"/>
    <w:spacing w:line="260" w:lineRule="auto" w:before="40" w:after="60"/>
    <w:jc w:val="both"/>
  </w:pPr>
  <w:r>
    <w:rPr>
      <w:rFonts w:ascii="Arial" w:hAnsi="Arial"/>
      <w:b/>
      <w:color w:val="2563EB"/>
      <w:sz w:val="22"/>
    </w:rPr>
    <w:t>▪ </w:t>
  </w:r>
  <w:r>
    <w:rPr>
      <w:rFonts w:ascii="Calibri" w:hAnsi="Calibri"/>
      <w:b/>
      <w:color w:val="0F172A"/>
      <w:sz w:val="22"/>
    </w:rPr>
    <w:t xml:space="preserve">2. Ubah Matriks Hak Akses: </w:t>
  </w:r>
  <w:r>
    <w:rPr>
      <w:rFonts w:ascii="Calibri" w:hAnsi="Calibri"/>
      <w:color w:val="334155"/>
      <w:sz w:val="22"/>
    </w:rPr>
    <w:t>Buka tab &quot;Matriks Hak Akses Menu&quot;. Centang menu apa saja yang diizinkan untuk peran Kepala Dinas, Perencana, dan Operator. Setelah selesai, klik tombol &quot;Simpan Matriks Hak Akses Menu&quot;. Aturan baru akan langsung berlaku seketika di seluruh sistem.</w:t>
  </w:r>
</w:p>
<w:p>
  <w:pPr>
    <w:pStyle w:val="Heading1"/>
    <w:pBdr>
      <w:bottom w:val="single" w:sz="12" w:space="6" w:color="1E3A8A"/>
    </w:pBdr>
    <w:spacing w:before="420" w:after="160"/>
  </w:pPr>
  <w:r>
    <w:rPr>
      <w:rFonts w:ascii="Arial" w:hAnsi="Arial"/>
      <w:b/>
      <w:color w:val="1E3A8A"/>
      <w:sz w:val="32"/>
    </w:rPr>
    <w:t>BAB VI: TANYA JAWAB (FAQ) &amp; PEMECAHAN MASALAH</w:t>
  </w:r>
</w:p>
<w:p>
  <w:pPr>
    <w:pStyle w:val="Heading2"/>
    <w:spacing w:before="300" w:after="100"/>
  </w:pPr>
  <w:r>
    <w:rPr>
      <w:rFonts w:ascii="Arial" w:hAnsi="Arial"/>
      <w:b/>
      <w:color w:val="0D9488"/>
      <w:sz w:val="26"/>
    </w:rPr>
    <w:t>Pertanyaan 1: Mengapa angka APK SD di dashboard saya bisa bernilai lebih dari 100%?</w:t>
  </w:r>
</w:p>
<w:p>
  <w:pPr>
    <w:spacing w:line="276" w:lineRule="auto" w:before="60" w:after="100"/>
    <w:jc w:val="both"/>
  </w:pPr>
  <w:r>
    <w:rPr>
      <w:rFonts w:ascii="Calibri" w:hAnsi="Calibri"/>
      
      
      <w:color w:val="1E293B"/>
      <w:sz w:val="22"/>
    </w:rPr>
    <w:t xml:space="preserve">Penjelasan: Nilai APK dihitung dari total seluruh murid yang terdaftar di jenjang SD (termasuk murid yang usianya lebih muda dari 7 tahun atau lebih tua dari 12 tahun) dibagi dengan populasi anak usia resmi 7–12 tahun. Apabila terdapat banyak anak yang masuk sekolah lebih awal atau terlambat lulus, nilai rasio APK wajar dan sah secara metodologi Kemendikbudristek melebihi 100%.</w:t>
  </w:r>
</w:p>
<w:p>
  <w:pPr>
    <w:pStyle w:val="Heading2"/>
    <w:spacing w:before="300" w:after="100"/>
  </w:pPr>
  <w:r>
    <w:rPr>
      <w:rFonts w:ascii="Arial" w:hAnsi="Arial"/>
      <w:b/>
      <w:color w:val="0D9488"/>
      <w:sz w:val="26"/>
    </w:rPr>
    <w:t>Pertanyaan 2: Mengapa tombol Edit pada data target atau realisasi tidak bisa diakses oleh Operator?</w:t>
  </w:r>
</w:p>
<w:p>
  <w:pPr>
    <w:spacing w:line="276" w:lineRule="auto" w:before="60" w:after="100"/>
    <w:jc w:val="both"/>
  </w:pPr>
  <w:r>
    <w:rPr>
      <w:rFonts w:ascii="Calibri" w:hAnsi="Calibri"/>
      
      
      <w:color w:val="1E293B"/>
      <w:sz w:val="22"/>
    </w:rPr>
    <w:t xml:space="preserve">Penjelasan: Penetapan target Renstra dan evaluasi realisasi AKIP merupakan wewenang fungsional Tim Perencana dan Pimpinan. Operator dibatasi pada pengelolaan data operasional sekolah dan siswa.</w:t>
  </w:r>
</w:p>
<w:p>
  <w:pPr>
    <w:pStyle w:val="Heading2"/>
    <w:spacing w:before="300" w:after="100"/>
  </w:pPr>
  <w:r>
    <w:rPr>
      <w:rFonts w:ascii="Arial" w:hAnsi="Arial"/>
      <w:b/>
      <w:color w:val="0D9488"/>
      <w:sz w:val="26"/>
    </w:rPr>
    <w:t>Pertanyaan 3: Bagaimana jika ada tahun target atau realisasi yang keliru diinputkan?</w:t>
  </w:r>
</w:p>
<w:p>
  <w:pPr>
    <w:spacing w:line="276" w:lineRule="auto" w:before="60" w:after="100"/>
    <w:jc w:val="both"/>
  </w:pPr>
  <w:r>
    <w:rPr>
      <w:rFonts w:ascii="Calibri" w:hAnsi="Calibri"/>
      
      
      <w:color w:val="1E293B"/>
      <w:sz w:val="22"/>
    </w:rPr>
    <w:t xml:space="preserve">Penjelasan: Gunakan tombol ikon Hapus (tempat sampah warna merah) yang tersedia pada setiap baris tabel. Sistem akan menampilkan dialog konfirmasi keamanan sebelum menghapus data permanen dari database.</w:t>
  </w:r>
</w:p>
<w:p>
  <w:pPr>
    <w:pStyle w:val="Heading2"/>
    <w:spacing w:before="300" w:after="100"/>
  </w:pPr>
  <w:r>
    <w:rPr>
      <w:rFonts w:ascii="Arial" w:hAnsi="Arial"/>
      <w:b/>
      <w:color w:val="0D9488"/>
      <w:sz w:val="26"/>
    </w:rPr>
    <w:t>Pertanyaan 4: Apakah dokumen LKjIP dapat langsung dicetak atau disimpan sebagai PDF?</w:t>
  </w:r>
</w:p>
<w:p>
  <w:pPr>
    <w:spacing w:line="276" w:lineRule="auto" w:before="60" w:after="100"/>
    <w:jc w:val="both"/>
  </w:pPr>
  <w:r>
    <w:rPr>
      <w:rFonts w:ascii="Calibri" w:hAnsi="Calibri"/>
      
      
      <w:color w:val="1E293B"/>
      <w:sz w:val="22"/>
    </w:rPr>
    <w:t xml:space="preserve">Penjelasan: Ya. Buka menu Dokumen LKjIP Resmi (A4), lalu gunakan fitur cetak peramban (Tekan Ctrl + P). Dokumen telah dirancang dengan CSS cetak standar A4 lengkap dengan kop surat dinas dan ruang tanda tangan Kepala Dinas.</w:t>
  </w:r>
</w:p>
<w:p>
  <w:pPr>
    <w:pBdr>
      <w:left w:val="single" w:sz="36" w:space="16" w:color="2563EB"/>
    </w:pBdr>
    <w:shd w:val="clear" w:color="auto" w:fill="EFF6FF"/>
    <w:spacing w:line="276" w:lineRule="auto" w:before="160" w:after="160"/>
    <w:ind w:left="240" w:right="200"/>
    <w:jc w:val="both"/>
  </w:pPr>
  <w:r>
    <w:rPr>
      <w:rFonts w:ascii="Calibri" w:hAnsi="Calibri"/>
      <w:b/>
      <w:color w:val="1D4ED8"/>
      <w:sz w:val="22"/>
    </w:rPr>
    <w:t xml:space="preserve">📌 LAYANAN BANTUAN TEKNIS: </w:t>
  </w:r>
  <w:r>
    <w:rPr>
      <w:rFonts w:ascii="Calibri" w:hAnsi="Calibri"/>
      <w:color w:val="1E293B"/>
      <w:sz w:val="21"/>
    </w:rPr>
    <w:t>Untuk bantuan teknis lebih lanjut, pemulihan akun, atau permohonan penyesuaian parameter Renstra daerah, silakan menghubungi Tim IT &amp; Subbagian Perencanaan Dinas Pendidikan, Kepemudaan dan Olahraga Kabupaten Banjarnegara.</w:t>
  </w:r>
</w:p>
  <w:sectPr>
    <w:pgSz w:w="12240" w:h="15840"/>
    <w:pgMar w:top="1440" w:right="1440" w:bottom="1440" w:left="1440" w:header="720" w:footer="720" w:gutter="0"/>
    <w:cols w:space="720"/>
    <w:docGrid w:linePitch="36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2"/>
        <w:szCs w:val="22"/>
        <w:color w:val="1E293B"/>
        <w:lang w:val="id-ID"/>
      </w:rPr>
    </w:rPrDefault>
    <w:pPrDefault>
      <w:pPr>
        <w:spacing w:line="276" w:lineRule="auto" w:before="60" w:after="10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