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4A" w:rsidRPr="001F5DD9" w:rsidRDefault="00512D02" w:rsidP="004A555A">
      <w:pPr>
        <w:pBdr>
          <w:bottom w:val="single" w:sz="6" w:space="1" w:color="auto"/>
        </w:pBdr>
        <w:jc w:val="center"/>
        <w:rPr>
          <w:rFonts w:asciiTheme="majorHAnsi" w:hAnsiTheme="majorHAnsi" w:cstheme="minorHAnsi"/>
          <w:b/>
          <w:color w:val="222222"/>
          <w:sz w:val="28"/>
          <w:szCs w:val="28"/>
          <w:shd w:val="clear" w:color="auto" w:fill="FFFFFF"/>
        </w:rPr>
      </w:pPr>
      <w:r w:rsidRPr="001F5DD9">
        <w:rPr>
          <w:rFonts w:asciiTheme="majorHAnsi" w:hAnsiTheme="majorHAnsi" w:cstheme="minorHAnsi"/>
          <w:b/>
          <w:color w:val="222222"/>
          <w:sz w:val="28"/>
          <w:szCs w:val="28"/>
          <w:shd w:val="clear" w:color="auto" w:fill="FFFFFF"/>
        </w:rPr>
        <w:t>INDIAN DREAMS FOUNDATION</w:t>
      </w:r>
    </w:p>
    <w:p w:rsidR="00512D02" w:rsidRPr="001F5DD9" w:rsidRDefault="001F5DD9" w:rsidP="004A555A">
      <w:pPr>
        <w:jc w:val="center"/>
        <w:rPr>
          <w:rFonts w:cstheme="minorHAnsi"/>
          <w:i/>
          <w:sz w:val="28"/>
          <w:szCs w:val="28"/>
        </w:rPr>
      </w:pPr>
      <w:r w:rsidRPr="001F5DD9">
        <w:rPr>
          <w:rFonts w:cstheme="minorHAnsi"/>
          <w:i/>
          <w:sz w:val="28"/>
          <w:szCs w:val="28"/>
        </w:rPr>
        <w:t xml:space="preserve">Women Connect Project – Impact </w:t>
      </w:r>
      <w:r>
        <w:rPr>
          <w:rFonts w:cstheme="minorHAnsi"/>
          <w:i/>
          <w:sz w:val="28"/>
          <w:szCs w:val="28"/>
        </w:rPr>
        <w:t>(</w:t>
      </w:r>
      <w:r w:rsidRPr="001F5DD9">
        <w:rPr>
          <w:rFonts w:cstheme="minorHAnsi"/>
          <w:i/>
          <w:sz w:val="20"/>
          <w:szCs w:val="20"/>
        </w:rPr>
        <w:t>Aug 2019 – Dec 2020</w:t>
      </w:r>
      <w:r>
        <w:rPr>
          <w:rFonts w:cstheme="minorHAnsi"/>
          <w:i/>
          <w:sz w:val="28"/>
          <w:szCs w:val="28"/>
        </w:rPr>
        <w:t>)</w:t>
      </w:r>
    </w:p>
    <w:p w:rsidR="004A555A" w:rsidRDefault="004A555A"/>
    <w:p w:rsidR="001F5DD9" w:rsidRPr="001F5DD9" w:rsidRDefault="001F5DD9" w:rsidP="0005040C">
      <w:pPr>
        <w:pStyle w:val="CommentText"/>
        <w:spacing w:before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 xml:space="preserve"> innovation combined technological, social &amp; financial innovation through(a)“Women Connect Helpline” for providing information &amp; knowledge related to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Menstrual hygiene management,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exual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eproductive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ealth &amp; rights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 xml:space="preserve"> especially by women &amp; adolescent girls;(b)“Women Connect Group” where the groups of women/adolescent girls get requisite skill for manufacturing sanitary pads as a microenterprise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improved skills to </w:t>
      </w:r>
      <w:r w:rsidR="00B05AA3">
        <w:rPr>
          <w:rFonts w:cstheme="minorHAnsi"/>
          <w:color w:val="000000"/>
          <w:sz w:val="24"/>
          <w:szCs w:val="24"/>
          <w:shd w:val="clear" w:color="auto" w:fill="FFFFFF"/>
        </w:rPr>
        <w:t>become self- dependent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="00B05AA3">
        <w:rPr>
          <w:rFonts w:cstheme="minorHAnsi"/>
          <w:color w:val="000000"/>
          <w:sz w:val="24"/>
          <w:szCs w:val="24"/>
          <w:shd w:val="clear" w:color="auto" w:fill="FFFFFF"/>
        </w:rPr>
        <w:t>(c) R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esource centre “Women connect Centre” in the community to access information, guidance, knowledge &amp; services to the targ</w:t>
      </w:r>
      <w:r w:rsidR="00B05AA3">
        <w:rPr>
          <w:rFonts w:cstheme="minorHAnsi"/>
          <w:color w:val="000000"/>
          <w:sz w:val="24"/>
          <w:szCs w:val="24"/>
          <w:shd w:val="clear" w:color="auto" w:fill="FFFFFF"/>
        </w:rPr>
        <w:t>et beneficiaries on Sexual Reproductive Health, Menstrual Health Management &amp;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G</w:t>
      </w:r>
      <w:r w:rsidR="00B05AA3">
        <w:rPr>
          <w:rFonts w:cstheme="minorHAnsi"/>
          <w:color w:val="000000"/>
          <w:sz w:val="24"/>
          <w:szCs w:val="24"/>
          <w:shd w:val="clear" w:color="auto" w:fill="FFFFFF"/>
        </w:rPr>
        <w:t xml:space="preserve">ender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B</w:t>
      </w:r>
      <w:r w:rsidR="00B05AA3">
        <w:rPr>
          <w:rFonts w:cstheme="minorHAnsi"/>
          <w:color w:val="000000"/>
          <w:sz w:val="24"/>
          <w:szCs w:val="24"/>
          <w:shd w:val="clear" w:color="auto" w:fill="FFFFFF"/>
        </w:rPr>
        <w:t xml:space="preserve">ased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V</w:t>
      </w:r>
      <w:r w:rsidR="00B05AA3">
        <w:rPr>
          <w:rFonts w:cstheme="minorHAnsi"/>
          <w:color w:val="000000"/>
          <w:sz w:val="24"/>
          <w:szCs w:val="24"/>
          <w:shd w:val="clear" w:color="auto" w:fill="FFFFFF"/>
        </w:rPr>
        <w:t>iolence.</w:t>
      </w:r>
    </w:p>
    <w:p w:rsidR="001F5DD9" w:rsidRDefault="001F5DD9"/>
    <w:p w:rsidR="001F5DD9" w:rsidRDefault="001F5DD9">
      <w:pPr>
        <w:rPr>
          <w:sz w:val="24"/>
          <w:szCs w:val="24"/>
        </w:rPr>
      </w:pPr>
      <w:r w:rsidRPr="00B05AA3">
        <w:rPr>
          <w:b/>
          <w:sz w:val="28"/>
          <w:szCs w:val="28"/>
        </w:rPr>
        <w:t xml:space="preserve">Total number of women </w:t>
      </w:r>
      <w:r w:rsidR="00B05AA3" w:rsidRPr="00B05AA3">
        <w:rPr>
          <w:b/>
          <w:sz w:val="28"/>
          <w:szCs w:val="28"/>
        </w:rPr>
        <w:t>and girls impacted = 1430</w:t>
      </w:r>
      <w:r w:rsidR="00B05AA3">
        <w:rPr>
          <w:sz w:val="24"/>
          <w:szCs w:val="24"/>
        </w:rPr>
        <w:t xml:space="preserve"> (Married = 993 &amp; Unmarried = 437)</w:t>
      </w:r>
    </w:p>
    <w:p w:rsidR="00B05AA3" w:rsidRPr="00D920E8" w:rsidRDefault="00B05AA3">
      <w:pPr>
        <w:rPr>
          <w:b/>
          <w:i/>
          <w:sz w:val="24"/>
          <w:szCs w:val="24"/>
          <w:u w:val="single"/>
        </w:rPr>
      </w:pPr>
      <w:r w:rsidRPr="00B05AA3">
        <w:rPr>
          <w:i/>
          <w:sz w:val="24"/>
          <w:szCs w:val="24"/>
          <w:u w:val="single"/>
        </w:rPr>
        <w:t>Below details of Women Connect Helpline (</w:t>
      </w:r>
      <w:r w:rsidRPr="00B05AA3">
        <w:rPr>
          <w:b/>
          <w:sz w:val="28"/>
          <w:szCs w:val="28"/>
          <w:u w:val="single"/>
        </w:rPr>
        <w:t>1800 120 1484</w:t>
      </w:r>
      <w:r w:rsidRPr="00B05AA3">
        <w:rPr>
          <w:i/>
          <w:sz w:val="24"/>
          <w:szCs w:val="24"/>
          <w:u w:val="single"/>
        </w:rPr>
        <w:t xml:space="preserve">) </w:t>
      </w:r>
      <w:r w:rsidR="00D920E8">
        <w:rPr>
          <w:i/>
          <w:sz w:val="24"/>
          <w:szCs w:val="24"/>
          <w:u w:val="single"/>
        </w:rPr>
        <w:t>during</w:t>
      </w:r>
      <w:r w:rsidR="00D920E8">
        <w:rPr>
          <w:b/>
          <w:i/>
          <w:sz w:val="24"/>
          <w:szCs w:val="24"/>
          <w:u w:val="single"/>
        </w:rPr>
        <w:t>Oct</w:t>
      </w:r>
      <w:r w:rsidR="00FC10D8" w:rsidRPr="00D920E8">
        <w:rPr>
          <w:b/>
          <w:i/>
          <w:sz w:val="24"/>
          <w:szCs w:val="24"/>
          <w:u w:val="single"/>
        </w:rPr>
        <w:t xml:space="preserve"> 2019 to Sep 2020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9"/>
        <w:gridCol w:w="892"/>
        <w:gridCol w:w="2591"/>
        <w:gridCol w:w="841"/>
        <w:gridCol w:w="2642"/>
        <w:gridCol w:w="758"/>
      </w:tblGrid>
      <w:tr w:rsidR="006D247B" w:rsidTr="0005040C">
        <w:trPr>
          <w:trHeight w:val="557"/>
        </w:trPr>
        <w:tc>
          <w:tcPr>
            <w:tcW w:w="10433" w:type="dxa"/>
            <w:gridSpan w:val="6"/>
          </w:tcPr>
          <w:p w:rsidR="006D247B" w:rsidRPr="0005040C" w:rsidRDefault="0005040C" w:rsidP="0005040C">
            <w:pPr>
              <w:spacing w:before="240"/>
              <w:ind w:left="-55"/>
              <w:rPr>
                <w:sz w:val="24"/>
                <w:szCs w:val="24"/>
              </w:rPr>
            </w:pPr>
            <w:r w:rsidRPr="0005040C">
              <w:rPr>
                <w:sz w:val="24"/>
                <w:szCs w:val="24"/>
              </w:rPr>
              <w:t>Total Call Recorded on Toll free helpline number = 2279</w:t>
            </w:r>
          </w:p>
        </w:tc>
      </w:tr>
      <w:tr w:rsidR="006D247B" w:rsidTr="0005040C">
        <w:trPr>
          <w:trHeight w:val="305"/>
        </w:trPr>
        <w:tc>
          <w:tcPr>
            <w:tcW w:w="2709" w:type="dxa"/>
          </w:tcPr>
          <w:p w:rsidR="006D247B" w:rsidRDefault="0005040C" w:rsidP="0005040C">
            <w:pPr>
              <w:ind w:left="-55"/>
              <w:jc w:val="right"/>
            </w:pPr>
            <w:r>
              <w:t>Connected Calls</w:t>
            </w:r>
          </w:p>
        </w:tc>
        <w:tc>
          <w:tcPr>
            <w:tcW w:w="892" w:type="dxa"/>
          </w:tcPr>
          <w:p w:rsidR="006D247B" w:rsidRDefault="0005040C" w:rsidP="0005040C">
            <w:pPr>
              <w:ind w:left="-55"/>
              <w:jc w:val="center"/>
            </w:pPr>
            <w:r>
              <w:t>1281</w:t>
            </w:r>
          </w:p>
        </w:tc>
        <w:tc>
          <w:tcPr>
            <w:tcW w:w="2591" w:type="dxa"/>
          </w:tcPr>
          <w:p w:rsidR="006D247B" w:rsidRDefault="0005040C" w:rsidP="0005040C">
            <w:pPr>
              <w:ind w:left="-55"/>
              <w:jc w:val="right"/>
            </w:pPr>
            <w:r>
              <w:t>Missed calls</w:t>
            </w:r>
          </w:p>
        </w:tc>
        <w:tc>
          <w:tcPr>
            <w:tcW w:w="841" w:type="dxa"/>
          </w:tcPr>
          <w:p w:rsidR="006D247B" w:rsidRDefault="0005040C" w:rsidP="0005040C">
            <w:pPr>
              <w:ind w:left="-55"/>
              <w:jc w:val="center"/>
            </w:pPr>
            <w:r>
              <w:t>748</w:t>
            </w:r>
          </w:p>
        </w:tc>
        <w:tc>
          <w:tcPr>
            <w:tcW w:w="2642" w:type="dxa"/>
          </w:tcPr>
          <w:p w:rsidR="006D247B" w:rsidRDefault="005154DB" w:rsidP="0005040C">
            <w:pPr>
              <w:ind w:left="-55"/>
              <w:jc w:val="right"/>
            </w:pPr>
            <w:r>
              <w:t>Voice mail</w:t>
            </w:r>
            <w:r w:rsidR="0005040C">
              <w:t>s</w:t>
            </w:r>
          </w:p>
        </w:tc>
        <w:tc>
          <w:tcPr>
            <w:tcW w:w="758" w:type="dxa"/>
          </w:tcPr>
          <w:p w:rsidR="006D247B" w:rsidRDefault="0005040C" w:rsidP="0005040C">
            <w:pPr>
              <w:ind w:left="-55"/>
              <w:jc w:val="center"/>
            </w:pPr>
            <w:r>
              <w:t>250</w:t>
            </w:r>
          </w:p>
        </w:tc>
      </w:tr>
    </w:tbl>
    <w:p w:rsidR="001F5DD9" w:rsidRDefault="001F5DD9"/>
    <w:p w:rsidR="00976F69" w:rsidRDefault="00C828EF" w:rsidP="00C828EF">
      <w:pPr>
        <w:spacing w:line="240" w:lineRule="auto"/>
      </w:pPr>
      <w:r>
        <w:rPr>
          <w:noProof/>
        </w:rPr>
        <w:drawing>
          <wp:inline distT="0" distB="0" distL="0" distR="0">
            <wp:extent cx="6614808" cy="305448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76F69" w:rsidRDefault="00976F69"/>
    <w:p w:rsidR="007E6504" w:rsidRDefault="00243B60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.2pt;width:494.05pt;height:23.75pt;z-index:251658240" fillcolor="#d8d8d8 [2732]">
            <v:textbox>
              <w:txbxContent>
                <w:p w:rsidR="00ED28E1" w:rsidRPr="007B29A1" w:rsidRDefault="00ED28E1" w:rsidP="00ED28E1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7B29A1">
                    <w:rPr>
                      <w:b/>
                      <w:sz w:val="24"/>
                      <w:szCs w:val="24"/>
                    </w:rPr>
                    <w:t>Age – wise description of the Women &amp; Girls</w:t>
                  </w:r>
                </w:p>
              </w:txbxContent>
            </v:textbox>
          </v:shape>
        </w:pict>
      </w:r>
    </w:p>
    <w:p w:rsidR="005154DB" w:rsidRDefault="005154DB">
      <w:r>
        <w:rPr>
          <w:noProof/>
        </w:rPr>
        <w:drawing>
          <wp:inline distT="0" distB="0" distL="0" distR="0">
            <wp:extent cx="6254885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54DB" w:rsidRDefault="005154DB"/>
    <w:p w:rsidR="00D920E8" w:rsidRPr="00E834F2" w:rsidRDefault="00D920E8">
      <w:pPr>
        <w:rPr>
          <w:b/>
          <w:sz w:val="24"/>
          <w:szCs w:val="24"/>
          <w:u w:val="single"/>
        </w:rPr>
      </w:pPr>
      <w:r w:rsidRPr="00E834F2">
        <w:rPr>
          <w:b/>
          <w:sz w:val="24"/>
          <w:szCs w:val="24"/>
          <w:u w:val="single"/>
        </w:rPr>
        <w:t xml:space="preserve">Quarterly Calls Details; </w:t>
      </w: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  <w:gridCol w:w="990"/>
        <w:gridCol w:w="810"/>
        <w:gridCol w:w="946"/>
        <w:gridCol w:w="854"/>
        <w:gridCol w:w="882"/>
        <w:gridCol w:w="893"/>
        <w:gridCol w:w="835"/>
        <w:gridCol w:w="810"/>
        <w:gridCol w:w="901"/>
        <w:gridCol w:w="778"/>
        <w:gridCol w:w="844"/>
      </w:tblGrid>
      <w:tr w:rsidR="00D920E8" w:rsidRPr="00E834F2" w:rsidTr="002C0560">
        <w:trPr>
          <w:trHeight w:val="418"/>
        </w:trPr>
        <w:tc>
          <w:tcPr>
            <w:tcW w:w="2721" w:type="dxa"/>
            <w:gridSpan w:val="3"/>
          </w:tcPr>
          <w:p w:rsidR="00D920E8" w:rsidRPr="00E834F2" w:rsidRDefault="00D920E8" w:rsidP="00D920E8">
            <w:pPr>
              <w:ind w:left="21"/>
              <w:jc w:val="center"/>
            </w:pPr>
            <w:r w:rsidRPr="00E834F2">
              <w:t>1</w:t>
            </w:r>
            <w:r w:rsidRPr="00E834F2">
              <w:rPr>
                <w:vertAlign w:val="superscript"/>
              </w:rPr>
              <w:t>st</w:t>
            </w:r>
            <w:r w:rsidRPr="00E834F2">
              <w:t xml:space="preserve"> Quarter                        (Oct 2019 to Dec 2019)</w:t>
            </w:r>
          </w:p>
        </w:tc>
        <w:tc>
          <w:tcPr>
            <w:tcW w:w="2682" w:type="dxa"/>
            <w:gridSpan w:val="3"/>
          </w:tcPr>
          <w:p w:rsidR="00D920E8" w:rsidRPr="00E834F2" w:rsidRDefault="00D920E8" w:rsidP="00D920E8">
            <w:pPr>
              <w:ind w:left="21"/>
              <w:jc w:val="center"/>
            </w:pPr>
            <w:r w:rsidRPr="00E834F2">
              <w:t>2</w:t>
            </w:r>
            <w:r w:rsidRPr="00E834F2">
              <w:rPr>
                <w:vertAlign w:val="superscript"/>
              </w:rPr>
              <w:t>nd</w:t>
            </w:r>
            <w:r w:rsidRPr="00E834F2">
              <w:t xml:space="preserve"> Quarter          (</w:t>
            </w:r>
            <w:r w:rsidR="002C0560" w:rsidRPr="00E834F2">
              <w:t>Jan 2020 to March 2020)</w:t>
            </w:r>
          </w:p>
        </w:tc>
        <w:tc>
          <w:tcPr>
            <w:tcW w:w="2538" w:type="dxa"/>
            <w:gridSpan w:val="3"/>
          </w:tcPr>
          <w:p w:rsidR="00D920E8" w:rsidRPr="00E834F2" w:rsidRDefault="002C0560" w:rsidP="002C0560">
            <w:pPr>
              <w:ind w:left="21"/>
              <w:jc w:val="center"/>
            </w:pPr>
            <w:r w:rsidRPr="00E834F2">
              <w:t>3</w:t>
            </w:r>
            <w:r w:rsidRPr="00E834F2">
              <w:rPr>
                <w:vertAlign w:val="superscript"/>
              </w:rPr>
              <w:t>rd</w:t>
            </w:r>
            <w:r w:rsidRPr="00E834F2">
              <w:t xml:space="preserve"> Quarter                        (Apr 2020 to June 2020)</w:t>
            </w:r>
          </w:p>
        </w:tc>
        <w:tc>
          <w:tcPr>
            <w:tcW w:w="2523" w:type="dxa"/>
            <w:gridSpan w:val="3"/>
          </w:tcPr>
          <w:p w:rsidR="00D920E8" w:rsidRPr="00E834F2" w:rsidRDefault="002C0560" w:rsidP="002C0560">
            <w:pPr>
              <w:ind w:left="21"/>
              <w:jc w:val="center"/>
            </w:pPr>
            <w:r w:rsidRPr="00E834F2">
              <w:t>4</w:t>
            </w:r>
            <w:r w:rsidRPr="00E834F2">
              <w:rPr>
                <w:vertAlign w:val="superscript"/>
              </w:rPr>
              <w:t>th</w:t>
            </w:r>
            <w:r w:rsidRPr="00E834F2">
              <w:t xml:space="preserve"> Quarter                (July 2020 to Sep 2020)</w:t>
            </w:r>
          </w:p>
        </w:tc>
      </w:tr>
      <w:tr w:rsidR="002C0560" w:rsidRPr="00E834F2" w:rsidTr="002C0560">
        <w:trPr>
          <w:trHeight w:val="557"/>
        </w:trPr>
        <w:tc>
          <w:tcPr>
            <w:tcW w:w="921" w:type="dxa"/>
            <w:shd w:val="clear" w:color="auto" w:fill="D9D9D9" w:themeFill="background1" w:themeFillShade="D9"/>
          </w:tcPr>
          <w:p w:rsidR="002C0560" w:rsidRPr="00E834F2" w:rsidRDefault="002C0560" w:rsidP="002C0560">
            <w:pPr>
              <w:ind w:left="21"/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SRHR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C0560" w:rsidRPr="00E834F2" w:rsidRDefault="002C0560" w:rsidP="002C0560">
            <w:pPr>
              <w:ind w:left="21"/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MHM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2C0560" w:rsidRPr="00E834F2" w:rsidRDefault="002C0560" w:rsidP="002C0560">
            <w:pPr>
              <w:ind w:left="21"/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GBV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:rsidR="002C0560" w:rsidRPr="00E834F2" w:rsidRDefault="002C0560" w:rsidP="002C0560">
            <w:pPr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SRHR</w:t>
            </w:r>
          </w:p>
        </w:tc>
        <w:tc>
          <w:tcPr>
            <w:tcW w:w="854" w:type="dxa"/>
            <w:shd w:val="clear" w:color="auto" w:fill="F2F2F2" w:themeFill="background1" w:themeFillShade="F2"/>
          </w:tcPr>
          <w:p w:rsidR="002C0560" w:rsidRPr="00E834F2" w:rsidRDefault="002C0560" w:rsidP="002C0560">
            <w:pPr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MHM</w:t>
            </w:r>
          </w:p>
        </w:tc>
        <w:tc>
          <w:tcPr>
            <w:tcW w:w="882" w:type="dxa"/>
            <w:shd w:val="clear" w:color="auto" w:fill="F2F2F2" w:themeFill="background1" w:themeFillShade="F2"/>
          </w:tcPr>
          <w:p w:rsidR="002C0560" w:rsidRPr="00E834F2" w:rsidRDefault="002C0560" w:rsidP="002C0560">
            <w:pPr>
              <w:ind w:left="21"/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GBV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2C0560" w:rsidRPr="00E834F2" w:rsidRDefault="002C0560" w:rsidP="002C0560">
            <w:pPr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SRHR</w:t>
            </w:r>
          </w:p>
        </w:tc>
        <w:tc>
          <w:tcPr>
            <w:tcW w:w="835" w:type="dxa"/>
            <w:shd w:val="clear" w:color="auto" w:fill="D9D9D9" w:themeFill="background1" w:themeFillShade="D9"/>
          </w:tcPr>
          <w:p w:rsidR="002C0560" w:rsidRPr="00E834F2" w:rsidRDefault="002C0560" w:rsidP="002C0560">
            <w:pPr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MHM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2C0560" w:rsidRPr="00E834F2" w:rsidRDefault="002C0560" w:rsidP="002C0560">
            <w:pPr>
              <w:ind w:left="21"/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GBV</w:t>
            </w:r>
          </w:p>
        </w:tc>
        <w:tc>
          <w:tcPr>
            <w:tcW w:w="901" w:type="dxa"/>
            <w:shd w:val="clear" w:color="auto" w:fill="F2F2F2" w:themeFill="background1" w:themeFillShade="F2"/>
          </w:tcPr>
          <w:p w:rsidR="002C0560" w:rsidRPr="00E834F2" w:rsidRDefault="002C0560" w:rsidP="002C0560">
            <w:pPr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SRHR</w:t>
            </w:r>
          </w:p>
        </w:tc>
        <w:tc>
          <w:tcPr>
            <w:tcW w:w="778" w:type="dxa"/>
            <w:shd w:val="clear" w:color="auto" w:fill="F2F2F2" w:themeFill="background1" w:themeFillShade="F2"/>
          </w:tcPr>
          <w:p w:rsidR="002C0560" w:rsidRPr="00E834F2" w:rsidRDefault="002C0560" w:rsidP="002C0560">
            <w:pPr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MHM</w:t>
            </w:r>
          </w:p>
        </w:tc>
        <w:tc>
          <w:tcPr>
            <w:tcW w:w="844" w:type="dxa"/>
            <w:shd w:val="clear" w:color="auto" w:fill="F2F2F2" w:themeFill="background1" w:themeFillShade="F2"/>
          </w:tcPr>
          <w:p w:rsidR="002C0560" w:rsidRPr="00E834F2" w:rsidRDefault="002C0560" w:rsidP="002C0560">
            <w:pPr>
              <w:ind w:left="21"/>
              <w:jc w:val="center"/>
              <w:rPr>
                <w:sz w:val="24"/>
                <w:szCs w:val="24"/>
              </w:rPr>
            </w:pPr>
            <w:r w:rsidRPr="00E834F2">
              <w:rPr>
                <w:sz w:val="24"/>
                <w:szCs w:val="24"/>
              </w:rPr>
              <w:t>GBV</w:t>
            </w:r>
          </w:p>
        </w:tc>
      </w:tr>
      <w:tr w:rsidR="002C0560" w:rsidRPr="00E834F2" w:rsidTr="002C0560">
        <w:trPr>
          <w:trHeight w:val="556"/>
        </w:trPr>
        <w:tc>
          <w:tcPr>
            <w:tcW w:w="921" w:type="dxa"/>
          </w:tcPr>
          <w:p w:rsidR="002C0560" w:rsidRPr="00E834F2" w:rsidRDefault="002C0560" w:rsidP="002C0560">
            <w:pPr>
              <w:ind w:left="21"/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990" w:type="dxa"/>
          </w:tcPr>
          <w:p w:rsidR="002C0560" w:rsidRPr="00E834F2" w:rsidRDefault="00F1505A" w:rsidP="002C0560">
            <w:pPr>
              <w:ind w:left="2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810" w:type="dxa"/>
          </w:tcPr>
          <w:p w:rsidR="002C0560" w:rsidRPr="00E834F2" w:rsidRDefault="00F1505A" w:rsidP="002C0560">
            <w:pPr>
              <w:ind w:left="2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46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854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882" w:type="dxa"/>
          </w:tcPr>
          <w:p w:rsidR="002C0560" w:rsidRPr="00E834F2" w:rsidRDefault="00F1505A" w:rsidP="002C05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35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8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2C0560" w:rsidRPr="00E834F2" w:rsidRDefault="002C0560" w:rsidP="002C0560">
            <w:pPr>
              <w:jc w:val="center"/>
              <w:rPr>
                <w:b/>
                <w:sz w:val="24"/>
                <w:szCs w:val="24"/>
              </w:rPr>
            </w:pPr>
            <w:r w:rsidRPr="00E834F2">
              <w:rPr>
                <w:b/>
                <w:sz w:val="24"/>
                <w:szCs w:val="24"/>
              </w:rPr>
              <w:t>3</w:t>
            </w:r>
          </w:p>
        </w:tc>
      </w:tr>
    </w:tbl>
    <w:p w:rsidR="00BD6109" w:rsidRDefault="00BD6109">
      <w:pPr>
        <w:rPr>
          <w:sz w:val="24"/>
          <w:szCs w:val="24"/>
        </w:rPr>
      </w:pPr>
      <w:bookmarkStart w:id="0" w:name="_GoBack"/>
      <w:bookmarkEnd w:id="0"/>
    </w:p>
    <w:p w:rsidR="00E55D33" w:rsidRDefault="00E55D33">
      <w:pPr>
        <w:rPr>
          <w:b/>
          <w:sz w:val="24"/>
          <w:szCs w:val="24"/>
        </w:rPr>
      </w:pPr>
    </w:p>
    <w:p w:rsidR="00E55D33" w:rsidRDefault="00E55D33">
      <w:pPr>
        <w:rPr>
          <w:b/>
          <w:sz w:val="24"/>
          <w:szCs w:val="24"/>
        </w:rPr>
      </w:pPr>
    </w:p>
    <w:p w:rsidR="00E55D33" w:rsidRDefault="00E55D33">
      <w:pPr>
        <w:rPr>
          <w:sz w:val="24"/>
          <w:szCs w:val="24"/>
        </w:rPr>
      </w:pPr>
      <w:r w:rsidRPr="00E55D33">
        <w:rPr>
          <w:b/>
          <w:sz w:val="24"/>
          <w:szCs w:val="24"/>
        </w:rPr>
        <w:t>MHM</w:t>
      </w:r>
      <w:r>
        <w:rPr>
          <w:sz w:val="24"/>
          <w:szCs w:val="24"/>
        </w:rPr>
        <w:t xml:space="preserve"> -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Menstrual hygiene management</w:t>
      </w:r>
    </w:p>
    <w:p w:rsidR="00E55D33" w:rsidRDefault="00E55D33">
      <w:pPr>
        <w:rPr>
          <w:sz w:val="24"/>
          <w:szCs w:val="24"/>
        </w:rPr>
      </w:pPr>
      <w:r w:rsidRPr="00E55D33">
        <w:rPr>
          <w:b/>
          <w:sz w:val="24"/>
          <w:szCs w:val="24"/>
        </w:rPr>
        <w:t>SRHR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exual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eproductive </w:t>
      </w:r>
      <w:r w:rsidRPr="001F5DD9">
        <w:rPr>
          <w:rFonts w:cstheme="minorHAnsi"/>
          <w:color w:val="000000"/>
          <w:sz w:val="24"/>
          <w:szCs w:val="24"/>
          <w:shd w:val="clear" w:color="auto" w:fill="FFFFFF"/>
        </w:rPr>
        <w:t>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ealth &amp; rights</w:t>
      </w:r>
    </w:p>
    <w:p w:rsidR="00E55D33" w:rsidRPr="00E834F2" w:rsidRDefault="00E55D33">
      <w:pPr>
        <w:rPr>
          <w:sz w:val="24"/>
          <w:szCs w:val="24"/>
        </w:rPr>
      </w:pPr>
      <w:r w:rsidRPr="00E55D33">
        <w:rPr>
          <w:b/>
          <w:sz w:val="24"/>
          <w:szCs w:val="24"/>
        </w:rPr>
        <w:t xml:space="preserve">GBV </w:t>
      </w:r>
      <w:proofErr w:type="gramStart"/>
      <w:r>
        <w:rPr>
          <w:sz w:val="24"/>
          <w:szCs w:val="24"/>
        </w:rPr>
        <w:t>-  Gender</w:t>
      </w:r>
      <w:proofErr w:type="gramEnd"/>
      <w:r>
        <w:rPr>
          <w:sz w:val="24"/>
          <w:szCs w:val="24"/>
        </w:rPr>
        <w:t xml:space="preserve"> Based Violence</w:t>
      </w:r>
    </w:p>
    <w:sectPr w:rsidR="00E55D33" w:rsidRPr="00E834F2" w:rsidSect="00512D0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D6109"/>
    <w:rsid w:val="0005040C"/>
    <w:rsid w:val="000D514A"/>
    <w:rsid w:val="001E2992"/>
    <w:rsid w:val="001F5DD9"/>
    <w:rsid w:val="0021366A"/>
    <w:rsid w:val="00243B60"/>
    <w:rsid w:val="002C0560"/>
    <w:rsid w:val="003464CB"/>
    <w:rsid w:val="0046484B"/>
    <w:rsid w:val="004A555A"/>
    <w:rsid w:val="00512D02"/>
    <w:rsid w:val="005154DB"/>
    <w:rsid w:val="00594721"/>
    <w:rsid w:val="006D247B"/>
    <w:rsid w:val="007B29A1"/>
    <w:rsid w:val="007E6504"/>
    <w:rsid w:val="00976F69"/>
    <w:rsid w:val="00A1146D"/>
    <w:rsid w:val="00B05AA3"/>
    <w:rsid w:val="00B51EAB"/>
    <w:rsid w:val="00BD6109"/>
    <w:rsid w:val="00C3278E"/>
    <w:rsid w:val="00C828EF"/>
    <w:rsid w:val="00D52369"/>
    <w:rsid w:val="00D920E8"/>
    <w:rsid w:val="00E37D49"/>
    <w:rsid w:val="00E503FB"/>
    <w:rsid w:val="00E55D33"/>
    <w:rsid w:val="00E834F2"/>
    <w:rsid w:val="00EA0DF2"/>
    <w:rsid w:val="00ED28E1"/>
    <w:rsid w:val="00F1505A"/>
    <w:rsid w:val="00FC1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1F5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5DD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Description of the Connected</a:t>
            </a:r>
            <a:r>
              <a:rPr lang="en-US" sz="1200" baseline="0"/>
              <a:t> Calls </a:t>
            </a:r>
            <a:endParaRPr lang="en-US" sz="1200"/>
          </a:p>
        </c:rich>
      </c:tx>
      <c:layout>
        <c:manualLayout>
          <c:xMode val="edge"/>
          <c:yMode val="edge"/>
          <c:x val="4.2329270932731571E-4"/>
          <c:y val="2.0791985201434028E-2"/>
        </c:manualLayout>
      </c:layout>
      <c:spPr>
        <a:solidFill>
          <a:schemeClr val="bg1">
            <a:lumMod val="85000"/>
          </a:schemeClr>
        </a:solidFill>
      </c:spPr>
    </c:title>
    <c:plotArea>
      <c:layout>
        <c:manualLayout>
          <c:layoutTarget val="inner"/>
          <c:xMode val="edge"/>
          <c:yMode val="edge"/>
          <c:x val="0.39676994404070381"/>
          <c:y val="4.1523728452862306E-2"/>
          <c:w val="0.41957566334255292"/>
          <c:h val="0.90867353119321648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Lbls>
            <c:dLbl>
              <c:idx val="2"/>
              <c:tx>
                <c:rich>
                  <a:bodyPr/>
                  <a:lstStyle/>
                  <a:p>
                    <a:pPr>
                      <a:defRPr sz="1400" b="1">
                        <a:solidFill>
                          <a:sysClr val="windowText" lastClr="000000"/>
                        </a:solidFill>
                      </a:defRPr>
                    </a:pPr>
                    <a:r>
                      <a:rPr lang="en-US"/>
                      <a:t>13</a:t>
                    </a:r>
                  </a:p>
                </c:rich>
              </c:tx>
              <c:spPr/>
              <c:showVal val="1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97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1400"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Sheet1!$A$2:$A$7</c:f>
              <c:strCache>
                <c:ptCount val="6"/>
                <c:pt idx="0">
                  <c:v>SRHR </c:v>
                </c:pt>
                <c:pt idx="1">
                  <c:v>MHM</c:v>
                </c:pt>
                <c:pt idx="2">
                  <c:v>GBV</c:v>
                </c:pt>
                <c:pt idx="3">
                  <c:v>Resource Centre Enquiry &amp; General Project related information</c:v>
                </c:pt>
                <c:pt idx="4">
                  <c:v>Feedbacks</c:v>
                </c:pt>
                <c:pt idx="5">
                  <c:v>Blank calls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197</c:v>
                </c:pt>
                <c:pt idx="1">
                  <c:v>136</c:v>
                </c:pt>
                <c:pt idx="2">
                  <c:v>16</c:v>
                </c:pt>
                <c:pt idx="3">
                  <c:v>688</c:v>
                </c:pt>
                <c:pt idx="4">
                  <c:v>150</c:v>
                </c:pt>
                <c:pt idx="5">
                  <c:v>100</c:v>
                </c:pt>
              </c:numCache>
            </c:numRef>
          </c:val>
        </c:ser>
        <c:firstSliceAng val="0"/>
      </c:pieChart>
    </c:plotArea>
    <c:legend>
      <c:legendPos val="l"/>
      <c:overlay val="1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10 - 18 yrs</c:v>
                </c:pt>
              </c:strCache>
            </c:strRef>
          </c:tx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Sheet1!$A$2:$A$3</c:f>
              <c:strCache>
                <c:ptCount val="2"/>
                <c:pt idx="0">
                  <c:v>MHM Cases</c:v>
                </c:pt>
                <c:pt idx="1">
                  <c:v>SRHR Cases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82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19 - 27 yrs</c:v>
                </c:pt>
              </c:strCache>
            </c:strRef>
          </c:tx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Sheet1!$A$2:$A$3</c:f>
              <c:strCache>
                <c:ptCount val="2"/>
                <c:pt idx="0">
                  <c:v>MHM Cases</c:v>
                </c:pt>
                <c:pt idx="1">
                  <c:v>SRHR Cases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40</c:v>
                </c:pt>
                <c:pt idx="1">
                  <c:v>82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28 - 36 yrs</c:v>
                </c:pt>
              </c:strCache>
            </c:strRef>
          </c:tx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Sheet1!$A$2:$A$3</c:f>
              <c:strCache>
                <c:ptCount val="2"/>
                <c:pt idx="0">
                  <c:v>MHM Cases</c:v>
                </c:pt>
                <c:pt idx="1">
                  <c:v>SRHR Cases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9</c:v>
                </c:pt>
                <c:pt idx="1">
                  <c:v>79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37 - 45 yrs</c:v>
                </c:pt>
              </c:strCache>
            </c:strRef>
          </c:tx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Sheet1!$A$2:$A$3</c:f>
              <c:strCache>
                <c:ptCount val="2"/>
                <c:pt idx="0">
                  <c:v>MHM Cases</c:v>
                </c:pt>
                <c:pt idx="1">
                  <c:v>SRHR Cases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5</c:v>
                </c:pt>
                <c:pt idx="1">
                  <c:v>31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45 Above age</c:v>
                </c:pt>
              </c:strCache>
            </c:strRef>
          </c:tx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Sheet1!$A$2:$A$3</c:f>
              <c:strCache>
                <c:ptCount val="2"/>
                <c:pt idx="0">
                  <c:v>MHM Cases</c:v>
                </c:pt>
                <c:pt idx="1">
                  <c:v>SRHR Cases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</c:ser>
        <c:axId val="209790080"/>
        <c:axId val="209792384"/>
      </c:barChart>
      <c:catAx>
        <c:axId val="209790080"/>
        <c:scaling>
          <c:orientation val="minMax"/>
        </c:scaling>
        <c:axPos val="b"/>
        <c:tickLblPos val="nextTo"/>
        <c:crossAx val="209792384"/>
        <c:crosses val="autoZero"/>
        <c:auto val="1"/>
        <c:lblAlgn val="ctr"/>
        <c:lblOffset val="100"/>
      </c:catAx>
      <c:valAx>
        <c:axId val="209792384"/>
        <c:scaling>
          <c:orientation val="minMax"/>
        </c:scaling>
        <c:axPos val="l"/>
        <c:numFmt formatCode="General" sourceLinked="1"/>
        <c:tickLblPos val="nextTo"/>
        <c:crossAx val="209790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351906532516751"/>
          <c:y val="0.20552649668791406"/>
          <c:w val="0.15271391880106519"/>
          <c:h val="0.37086770403699537"/>
        </c:manualLayout>
      </c:layout>
      <c:spPr>
        <a:ln>
          <a:solidFill>
            <a:schemeClr val="tx1"/>
          </a:solidFill>
        </a:ln>
      </c:spPr>
      <c:txPr>
        <a:bodyPr/>
        <a:lstStyle/>
        <a:p>
          <a:pPr>
            <a:defRPr sz="1050" b="0"/>
          </a:pPr>
          <a:endParaRPr lang="en-US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ManendrA NSG</dc:creator>
  <cp:lastModifiedBy>IDF</cp:lastModifiedBy>
  <cp:revision>21</cp:revision>
  <dcterms:created xsi:type="dcterms:W3CDTF">2021-04-27T10:29:00Z</dcterms:created>
  <dcterms:modified xsi:type="dcterms:W3CDTF">2021-05-03T08:46:00Z</dcterms:modified>
</cp:coreProperties>
</file>