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628CA3" w14:textId="0C3857A3" w:rsidR="00554B29" w:rsidRDefault="000F657A" w:rsidP="000F657A">
      <w:pPr>
        <w:pStyle w:val="3"/>
      </w:pPr>
      <w:r>
        <w:rPr>
          <w:rFonts w:hint="eastAsia"/>
        </w:rPr>
        <w:t xml:space="preserve">2.2 </w:t>
      </w:r>
      <w:r>
        <w:rPr>
          <w:rFonts w:hint="eastAsia"/>
        </w:rPr>
        <w:t>万方知识服务数据平台检索</w:t>
      </w:r>
    </w:p>
    <w:p w14:paraId="5F25202D" w14:textId="28EBCF22" w:rsidR="000F657A" w:rsidRPr="00EC33B5" w:rsidRDefault="000F657A" w:rsidP="00EC33B5">
      <w:pPr>
        <w:ind w:firstLineChars="200" w:firstLine="480"/>
        <w:rPr>
          <w:rFonts w:ascii="仿宋" w:eastAsia="仿宋" w:hAnsi="仿宋"/>
          <w:sz w:val="24"/>
          <w:szCs w:val="24"/>
        </w:rPr>
      </w:pPr>
      <w:r w:rsidRPr="00EC33B5">
        <w:rPr>
          <w:rFonts w:ascii="仿宋" w:eastAsia="仿宋" w:hAnsi="仿宋" w:hint="eastAsia"/>
          <w:sz w:val="24"/>
          <w:szCs w:val="24"/>
        </w:rPr>
        <w:t>以下是基于万方数据库检索到的关于</w:t>
      </w:r>
      <w:proofErr w:type="gramStart"/>
      <w:r w:rsidRPr="00EC33B5">
        <w:rPr>
          <w:rFonts w:ascii="仿宋" w:eastAsia="仿宋" w:hAnsi="仿宋" w:hint="eastAsia"/>
          <w:sz w:val="24"/>
          <w:szCs w:val="24"/>
        </w:rPr>
        <w:t>“</w:t>
      </w:r>
      <w:proofErr w:type="gramEnd"/>
      <w:r w:rsidRPr="00EC33B5">
        <w:rPr>
          <w:rFonts w:ascii="仿宋" w:eastAsia="仿宋" w:hAnsi="仿宋" w:hint="eastAsia"/>
          <w:sz w:val="24"/>
          <w:szCs w:val="24"/>
        </w:rPr>
        <w:t>尼克松《不战而胜》中</w:t>
      </w:r>
      <w:r w:rsidR="00C974F6" w:rsidRPr="00EC33B5">
        <w:rPr>
          <w:rFonts w:ascii="仿宋" w:eastAsia="仿宋" w:hAnsi="仿宋" w:hint="eastAsia"/>
          <w:sz w:val="24"/>
          <w:szCs w:val="24"/>
        </w:rPr>
        <w:t>“</w:t>
      </w:r>
      <w:r w:rsidR="00C974F6" w:rsidRPr="00EC33B5">
        <w:rPr>
          <w:rFonts w:ascii="仿宋" w:eastAsia="仿宋" w:hAnsi="仿宋" w:hint="eastAsia"/>
          <w:sz w:val="24"/>
          <w:szCs w:val="24"/>
        </w:rPr>
        <w:t>当有一天，中国的年轻人已经不再相信他们老祖雇尊教导和他们的传统文化，我们美国人就不战而</w:t>
      </w:r>
      <w:r w:rsidR="00C974F6" w:rsidRPr="00EC33B5">
        <w:rPr>
          <w:rFonts w:ascii="仿宋" w:eastAsia="仿宋" w:hAnsi="仿宋" w:hint="eastAsia"/>
          <w:sz w:val="24"/>
          <w:szCs w:val="24"/>
        </w:rPr>
        <w:t>胜了”言论</w:t>
      </w:r>
      <w:r w:rsidRPr="00EC33B5">
        <w:rPr>
          <w:rFonts w:ascii="仿宋" w:eastAsia="仿宋" w:hAnsi="仿宋" w:hint="eastAsia"/>
          <w:sz w:val="24"/>
          <w:szCs w:val="24"/>
        </w:rPr>
        <w:t>的相关信息整理，包括具体说明、来源及可信度分析：</w:t>
      </w:r>
    </w:p>
    <w:p w14:paraId="4067498C" w14:textId="2FD5424B" w:rsidR="00C974F6" w:rsidRPr="00EC33B5" w:rsidRDefault="00C974F6" w:rsidP="00011294">
      <w:pPr>
        <w:ind w:firstLineChars="200" w:firstLine="480"/>
        <w:rPr>
          <w:rFonts w:ascii="仿宋" w:eastAsia="仿宋" w:hAnsi="仿宋"/>
          <w:sz w:val="24"/>
          <w:szCs w:val="24"/>
        </w:rPr>
      </w:pPr>
      <w:r w:rsidRPr="00EC33B5">
        <w:rPr>
          <w:rFonts w:ascii="仿宋" w:eastAsia="仿宋" w:hAnsi="仿宋" w:hint="eastAsia"/>
          <w:sz w:val="24"/>
          <w:szCs w:val="24"/>
        </w:rPr>
        <w:t>检索关键字：尼克松、</w:t>
      </w:r>
      <w:r w:rsidRPr="00EC33B5">
        <w:rPr>
          <w:rFonts w:ascii="仿宋" w:eastAsia="仿宋" w:hAnsi="仿宋" w:hint="eastAsia"/>
          <w:sz w:val="24"/>
          <w:szCs w:val="24"/>
        </w:rPr>
        <w:t>《不战而胜》</w:t>
      </w:r>
    </w:p>
    <w:p w14:paraId="4C0EFCEB" w14:textId="467F5B6F" w:rsidR="00EC33B5" w:rsidRPr="00EC33B5" w:rsidRDefault="00EC33B5" w:rsidP="00EC33B5">
      <w:pPr>
        <w:jc w:val="center"/>
        <w:rPr>
          <w:rFonts w:ascii="仿宋" w:eastAsia="仿宋" w:hAnsi="仿宋" w:hint="eastAsia"/>
          <w:sz w:val="24"/>
          <w:szCs w:val="24"/>
        </w:rPr>
      </w:pPr>
      <w:r w:rsidRPr="00EC33B5">
        <w:rPr>
          <w:rFonts w:ascii="仿宋" w:eastAsia="仿宋" w:hAnsi="仿宋" w:hint="eastAsia"/>
          <w:sz w:val="24"/>
          <w:szCs w:val="24"/>
        </w:rPr>
        <w:t>表1 万方数据库检索</w:t>
      </w:r>
    </w:p>
    <w:tbl>
      <w:tblPr>
        <w:tblStyle w:val="ae"/>
        <w:tblW w:w="0" w:type="auto"/>
        <w:tblLook w:val="04A0" w:firstRow="1" w:lastRow="0" w:firstColumn="1" w:lastColumn="0" w:noHBand="0" w:noVBand="1"/>
      </w:tblPr>
      <w:tblGrid>
        <w:gridCol w:w="704"/>
        <w:gridCol w:w="2250"/>
        <w:gridCol w:w="2853"/>
        <w:gridCol w:w="1276"/>
        <w:gridCol w:w="1213"/>
      </w:tblGrid>
      <w:tr w:rsidR="00C974F6" w:rsidRPr="00EC33B5" w14:paraId="500A7E4E" w14:textId="77777777" w:rsidTr="00C974F6">
        <w:tc>
          <w:tcPr>
            <w:tcW w:w="704" w:type="dxa"/>
          </w:tcPr>
          <w:p w14:paraId="00D04F6C" w14:textId="78F8060A" w:rsidR="00C974F6" w:rsidRPr="00EC33B5" w:rsidRDefault="00C974F6" w:rsidP="000F657A">
            <w:pPr>
              <w:rPr>
                <w:rFonts w:ascii="仿宋" w:eastAsia="仿宋" w:hAnsi="仿宋" w:hint="eastAsia"/>
                <w:sz w:val="24"/>
                <w:szCs w:val="24"/>
              </w:rPr>
            </w:pPr>
            <w:r w:rsidRPr="00EC33B5">
              <w:rPr>
                <w:rFonts w:ascii="仿宋" w:eastAsia="仿宋" w:hAnsi="仿宋" w:hint="eastAsia"/>
                <w:sz w:val="24"/>
                <w:szCs w:val="24"/>
              </w:rPr>
              <w:t>序号</w:t>
            </w:r>
          </w:p>
        </w:tc>
        <w:tc>
          <w:tcPr>
            <w:tcW w:w="2250" w:type="dxa"/>
          </w:tcPr>
          <w:p w14:paraId="4F234CAD" w14:textId="18416DA1" w:rsidR="00C974F6" w:rsidRPr="00EC33B5" w:rsidRDefault="00C974F6" w:rsidP="000F657A">
            <w:pPr>
              <w:rPr>
                <w:rFonts w:ascii="仿宋" w:eastAsia="仿宋" w:hAnsi="仿宋" w:hint="eastAsia"/>
                <w:sz w:val="24"/>
                <w:szCs w:val="24"/>
              </w:rPr>
            </w:pPr>
            <w:r w:rsidRPr="00EC33B5">
              <w:rPr>
                <w:rFonts w:ascii="仿宋" w:eastAsia="仿宋" w:hAnsi="仿宋" w:hint="eastAsia"/>
                <w:sz w:val="24"/>
                <w:szCs w:val="24"/>
              </w:rPr>
              <w:t>说明</w:t>
            </w:r>
          </w:p>
        </w:tc>
        <w:tc>
          <w:tcPr>
            <w:tcW w:w="2853" w:type="dxa"/>
          </w:tcPr>
          <w:p w14:paraId="52839961" w14:textId="211778BB" w:rsidR="00C974F6" w:rsidRPr="00EC33B5" w:rsidRDefault="00C974F6" w:rsidP="000F657A">
            <w:pPr>
              <w:rPr>
                <w:rFonts w:ascii="仿宋" w:eastAsia="仿宋" w:hAnsi="仿宋" w:hint="eastAsia"/>
                <w:sz w:val="24"/>
                <w:szCs w:val="24"/>
              </w:rPr>
            </w:pPr>
            <w:r w:rsidRPr="00EC33B5">
              <w:rPr>
                <w:rFonts w:ascii="仿宋" w:eastAsia="仿宋" w:hAnsi="仿宋" w:hint="eastAsia"/>
                <w:sz w:val="24"/>
                <w:szCs w:val="24"/>
              </w:rPr>
              <w:t>原文内容</w:t>
            </w:r>
          </w:p>
        </w:tc>
        <w:tc>
          <w:tcPr>
            <w:tcW w:w="1276" w:type="dxa"/>
          </w:tcPr>
          <w:p w14:paraId="1DA01275" w14:textId="28924FC3" w:rsidR="00C974F6" w:rsidRPr="00EC33B5" w:rsidRDefault="00C974F6" w:rsidP="000F657A">
            <w:pPr>
              <w:rPr>
                <w:rFonts w:ascii="仿宋" w:eastAsia="仿宋" w:hAnsi="仿宋" w:hint="eastAsia"/>
                <w:sz w:val="24"/>
                <w:szCs w:val="24"/>
              </w:rPr>
            </w:pPr>
            <w:r w:rsidRPr="00EC33B5">
              <w:rPr>
                <w:rFonts w:ascii="仿宋" w:eastAsia="仿宋" w:hAnsi="仿宋" w:hint="eastAsia"/>
                <w:sz w:val="24"/>
                <w:szCs w:val="24"/>
              </w:rPr>
              <w:t>数据源</w:t>
            </w:r>
          </w:p>
        </w:tc>
        <w:tc>
          <w:tcPr>
            <w:tcW w:w="1213" w:type="dxa"/>
          </w:tcPr>
          <w:p w14:paraId="20F0C6E2" w14:textId="100ABAD1" w:rsidR="00C974F6" w:rsidRPr="00EC33B5" w:rsidRDefault="00C974F6" w:rsidP="000F657A">
            <w:pPr>
              <w:rPr>
                <w:rFonts w:ascii="仿宋" w:eastAsia="仿宋" w:hAnsi="仿宋" w:hint="eastAsia"/>
                <w:sz w:val="24"/>
                <w:szCs w:val="24"/>
              </w:rPr>
            </w:pPr>
            <w:r w:rsidRPr="00EC33B5">
              <w:rPr>
                <w:rFonts w:ascii="仿宋" w:eastAsia="仿宋" w:hAnsi="仿宋" w:hint="eastAsia"/>
                <w:sz w:val="24"/>
                <w:szCs w:val="24"/>
              </w:rPr>
              <w:t>可信度</w:t>
            </w:r>
          </w:p>
        </w:tc>
      </w:tr>
      <w:tr w:rsidR="00C974F6" w:rsidRPr="00EC33B5" w14:paraId="2FC496DD" w14:textId="77777777" w:rsidTr="00C974F6">
        <w:tc>
          <w:tcPr>
            <w:tcW w:w="704" w:type="dxa"/>
          </w:tcPr>
          <w:p w14:paraId="5BB2349D" w14:textId="4BE8775A" w:rsidR="00C974F6" w:rsidRPr="00EC33B5" w:rsidRDefault="00C974F6" w:rsidP="000F657A">
            <w:pPr>
              <w:rPr>
                <w:rFonts w:ascii="仿宋" w:eastAsia="仿宋" w:hAnsi="仿宋" w:hint="eastAsia"/>
                <w:sz w:val="24"/>
                <w:szCs w:val="24"/>
              </w:rPr>
            </w:pPr>
            <w:r w:rsidRPr="00EC33B5">
              <w:rPr>
                <w:rFonts w:ascii="仿宋" w:eastAsia="仿宋" w:hAnsi="仿宋" w:hint="eastAsia"/>
                <w:sz w:val="24"/>
                <w:szCs w:val="24"/>
              </w:rPr>
              <w:t>1</w:t>
            </w:r>
          </w:p>
        </w:tc>
        <w:tc>
          <w:tcPr>
            <w:tcW w:w="2250" w:type="dxa"/>
          </w:tcPr>
          <w:p w14:paraId="5E996398" w14:textId="04BB06A4" w:rsidR="00C974F6" w:rsidRPr="00EC33B5" w:rsidRDefault="00C974F6" w:rsidP="000F657A">
            <w:pPr>
              <w:rPr>
                <w:rFonts w:ascii="仿宋" w:eastAsia="仿宋" w:hAnsi="仿宋" w:hint="eastAsia"/>
                <w:sz w:val="24"/>
                <w:szCs w:val="24"/>
              </w:rPr>
            </w:pPr>
            <w:r w:rsidRPr="00EC33B5">
              <w:rPr>
                <w:rFonts w:ascii="仿宋" w:eastAsia="仿宋" w:hAnsi="仿宋" w:hint="eastAsia"/>
                <w:sz w:val="24"/>
                <w:szCs w:val="24"/>
              </w:rPr>
              <w:t>《管理观察》2017年第11期引用“不战而胜”作为尼克松战略思想的概括。</w:t>
            </w:r>
          </w:p>
        </w:tc>
        <w:tc>
          <w:tcPr>
            <w:tcW w:w="2853" w:type="dxa"/>
          </w:tcPr>
          <w:p w14:paraId="3D8EA206" w14:textId="446235A3" w:rsidR="00C974F6" w:rsidRPr="00EC33B5" w:rsidRDefault="00C974F6" w:rsidP="000F657A">
            <w:pPr>
              <w:rPr>
                <w:rFonts w:ascii="仿宋" w:eastAsia="仿宋" w:hAnsi="仿宋" w:hint="eastAsia"/>
                <w:sz w:val="24"/>
                <w:szCs w:val="24"/>
              </w:rPr>
            </w:pPr>
            <w:r w:rsidRPr="00EC33B5">
              <w:rPr>
                <w:rFonts w:ascii="仿宋" w:eastAsia="仿宋" w:hAnsi="仿宋" w:hint="eastAsia"/>
                <w:sz w:val="24"/>
                <w:szCs w:val="24"/>
              </w:rPr>
              <w:t>美国总统尼克松在其著作《不战而胜》中有这样一段话：“当有一天，遥远古老的中国，他们的年轻人不再相信他们老祖宗的教导和历史传统文化的时候，那时候就是我们美国人不战而胜的时候”。</w:t>
            </w:r>
          </w:p>
        </w:tc>
        <w:tc>
          <w:tcPr>
            <w:tcW w:w="1276" w:type="dxa"/>
          </w:tcPr>
          <w:p w14:paraId="23EA97EC" w14:textId="76F80A82" w:rsidR="00C974F6" w:rsidRPr="00EC33B5" w:rsidRDefault="00C974F6" w:rsidP="000F657A">
            <w:pPr>
              <w:rPr>
                <w:rFonts w:ascii="仿宋" w:eastAsia="仿宋" w:hAnsi="仿宋" w:hint="eastAsia"/>
                <w:sz w:val="24"/>
                <w:szCs w:val="24"/>
              </w:rPr>
            </w:pPr>
            <w:hyperlink r:id="rId4" w:tgtFrame="_blank" w:history="1">
              <w:r w:rsidRPr="00EC33B5">
                <w:rPr>
                  <w:rStyle w:val="af"/>
                  <w:rFonts w:ascii="仿宋" w:eastAsia="仿宋" w:hAnsi="仿宋"/>
                  <w:sz w:val="24"/>
                  <w:szCs w:val="24"/>
                </w:rPr>
                <w:t>管理观察2017年第11期</w:t>
              </w:r>
            </w:hyperlink>
          </w:p>
        </w:tc>
        <w:tc>
          <w:tcPr>
            <w:tcW w:w="1213" w:type="dxa"/>
          </w:tcPr>
          <w:p w14:paraId="79D3071B" w14:textId="29C17669" w:rsidR="00C974F6" w:rsidRPr="00EC33B5" w:rsidRDefault="00E718B8" w:rsidP="000F657A">
            <w:pPr>
              <w:rPr>
                <w:rFonts w:ascii="仿宋" w:eastAsia="仿宋" w:hAnsi="仿宋" w:hint="eastAsia"/>
                <w:sz w:val="24"/>
                <w:szCs w:val="24"/>
              </w:rPr>
            </w:pPr>
            <w:r w:rsidRPr="00EC33B5">
              <w:rPr>
                <w:rFonts w:ascii="仿宋" w:eastAsia="仿宋" w:hAnsi="仿宋"/>
                <w:sz w:val="24"/>
                <w:szCs w:val="24"/>
              </w:rPr>
              <w:t>学术期刊引用，但未明确标注原文出处，可信度</w:t>
            </w:r>
            <w:r w:rsidR="00EC33B5" w:rsidRPr="00EC33B5">
              <w:rPr>
                <w:rFonts w:ascii="仿宋" w:eastAsia="仿宋" w:hAnsi="仿宋" w:hint="eastAsia"/>
                <w:sz w:val="24"/>
                <w:szCs w:val="24"/>
              </w:rPr>
              <w:t>较低</w:t>
            </w:r>
          </w:p>
        </w:tc>
      </w:tr>
      <w:tr w:rsidR="00C974F6" w:rsidRPr="00EC33B5" w14:paraId="5437E628" w14:textId="77777777" w:rsidTr="00C974F6">
        <w:tc>
          <w:tcPr>
            <w:tcW w:w="704" w:type="dxa"/>
          </w:tcPr>
          <w:p w14:paraId="3B83FA23" w14:textId="30379A74" w:rsidR="00C974F6" w:rsidRPr="00EC33B5" w:rsidRDefault="00C974F6" w:rsidP="000F657A">
            <w:pPr>
              <w:rPr>
                <w:rFonts w:ascii="仿宋" w:eastAsia="仿宋" w:hAnsi="仿宋" w:hint="eastAsia"/>
                <w:sz w:val="24"/>
                <w:szCs w:val="24"/>
              </w:rPr>
            </w:pPr>
            <w:r w:rsidRPr="00EC33B5">
              <w:rPr>
                <w:rFonts w:ascii="仿宋" w:eastAsia="仿宋" w:hAnsi="仿宋" w:hint="eastAsia"/>
                <w:sz w:val="24"/>
                <w:szCs w:val="24"/>
              </w:rPr>
              <w:t>2</w:t>
            </w:r>
          </w:p>
        </w:tc>
        <w:tc>
          <w:tcPr>
            <w:tcW w:w="2250" w:type="dxa"/>
          </w:tcPr>
          <w:p w14:paraId="511FE3F6" w14:textId="4D2BE119" w:rsidR="00C974F6" w:rsidRPr="00EC33B5" w:rsidRDefault="00C974F6" w:rsidP="000F657A">
            <w:pPr>
              <w:rPr>
                <w:rFonts w:ascii="仿宋" w:eastAsia="仿宋" w:hAnsi="仿宋" w:hint="eastAsia"/>
                <w:sz w:val="24"/>
                <w:szCs w:val="24"/>
              </w:rPr>
            </w:pPr>
            <w:r w:rsidRPr="00EC33B5">
              <w:rPr>
                <w:rFonts w:ascii="仿宋" w:eastAsia="仿宋" w:hAnsi="仿宋"/>
                <w:sz w:val="24"/>
                <w:szCs w:val="24"/>
              </w:rPr>
              <w:t>《江西社会科学》2012年12期引用“不战而胜”作为尼克松</w:t>
            </w:r>
            <w:proofErr w:type="gramStart"/>
            <w:r w:rsidRPr="00EC33B5">
              <w:rPr>
                <w:rFonts w:ascii="仿宋" w:eastAsia="仿宋" w:hAnsi="仿宋"/>
                <w:sz w:val="24"/>
                <w:szCs w:val="24"/>
              </w:rPr>
              <w:t>软实力</w:t>
            </w:r>
            <w:proofErr w:type="gramEnd"/>
            <w:r w:rsidRPr="00EC33B5">
              <w:rPr>
                <w:rFonts w:ascii="仿宋" w:eastAsia="仿宋" w:hAnsi="仿宋"/>
                <w:sz w:val="24"/>
                <w:szCs w:val="24"/>
              </w:rPr>
              <w:t>思想的衍生解读。</w:t>
            </w:r>
          </w:p>
        </w:tc>
        <w:tc>
          <w:tcPr>
            <w:tcW w:w="2853" w:type="dxa"/>
          </w:tcPr>
          <w:p w14:paraId="4F7926A3" w14:textId="7CA39832" w:rsidR="00C974F6" w:rsidRPr="00EC33B5" w:rsidRDefault="00E718B8" w:rsidP="000F657A">
            <w:pPr>
              <w:rPr>
                <w:rFonts w:ascii="仿宋" w:eastAsia="仿宋" w:hAnsi="仿宋" w:hint="eastAsia"/>
                <w:sz w:val="24"/>
                <w:szCs w:val="24"/>
              </w:rPr>
            </w:pPr>
            <w:r w:rsidRPr="00EC33B5">
              <w:rPr>
                <w:rFonts w:ascii="仿宋" w:eastAsia="仿宋" w:hAnsi="仿宋" w:hint="eastAsia"/>
                <w:sz w:val="24"/>
                <w:szCs w:val="24"/>
              </w:rPr>
              <w:t>第二,以文化为载体进行思想渗透。尼克松认为,美国和苏联内部展开和平竞争的唯一途径是进行对外广播和签订文化交流项目。</w:t>
            </w:r>
          </w:p>
        </w:tc>
        <w:tc>
          <w:tcPr>
            <w:tcW w:w="1276" w:type="dxa"/>
          </w:tcPr>
          <w:p w14:paraId="75CC25FC" w14:textId="4D72CA1E" w:rsidR="00C974F6" w:rsidRPr="00EC33B5" w:rsidRDefault="00C974F6" w:rsidP="000F657A">
            <w:pPr>
              <w:rPr>
                <w:rFonts w:ascii="仿宋" w:eastAsia="仿宋" w:hAnsi="仿宋" w:hint="eastAsia"/>
                <w:sz w:val="24"/>
                <w:szCs w:val="24"/>
              </w:rPr>
            </w:pPr>
            <w:hyperlink r:id="rId5" w:tgtFrame="_blank" w:history="1">
              <w:r w:rsidRPr="00EC33B5">
                <w:rPr>
                  <w:rStyle w:val="af"/>
                  <w:rFonts w:ascii="仿宋" w:eastAsia="仿宋" w:hAnsi="仿宋"/>
                  <w:sz w:val="24"/>
                  <w:szCs w:val="24"/>
                </w:rPr>
                <w:t>江西社会科学2012年12期</w:t>
              </w:r>
            </w:hyperlink>
          </w:p>
        </w:tc>
        <w:tc>
          <w:tcPr>
            <w:tcW w:w="1213" w:type="dxa"/>
          </w:tcPr>
          <w:p w14:paraId="33DA2E88" w14:textId="4FE42990" w:rsidR="00C974F6" w:rsidRPr="00EC33B5" w:rsidRDefault="00C974F6" w:rsidP="000F657A">
            <w:pPr>
              <w:rPr>
                <w:rFonts w:ascii="仿宋" w:eastAsia="仿宋" w:hAnsi="仿宋" w:hint="eastAsia"/>
                <w:sz w:val="24"/>
                <w:szCs w:val="24"/>
              </w:rPr>
            </w:pPr>
            <w:r w:rsidRPr="00EC33B5">
              <w:rPr>
                <w:rFonts w:ascii="仿宋" w:eastAsia="仿宋" w:hAnsi="仿宋"/>
                <w:sz w:val="24"/>
                <w:szCs w:val="24"/>
              </w:rPr>
              <w:t>学术期刊引用，属于间接解读，可信度中等。</w:t>
            </w:r>
          </w:p>
        </w:tc>
      </w:tr>
      <w:tr w:rsidR="00C974F6" w:rsidRPr="00EC33B5" w14:paraId="20B9000A" w14:textId="77777777" w:rsidTr="00C974F6">
        <w:tc>
          <w:tcPr>
            <w:tcW w:w="704" w:type="dxa"/>
          </w:tcPr>
          <w:p w14:paraId="3E5500BE" w14:textId="602D170D" w:rsidR="00C974F6" w:rsidRPr="00EC33B5" w:rsidRDefault="00C974F6" w:rsidP="000F657A">
            <w:pPr>
              <w:rPr>
                <w:rFonts w:ascii="仿宋" w:eastAsia="仿宋" w:hAnsi="仿宋" w:hint="eastAsia"/>
                <w:sz w:val="24"/>
                <w:szCs w:val="24"/>
              </w:rPr>
            </w:pPr>
            <w:r w:rsidRPr="00EC33B5">
              <w:rPr>
                <w:rFonts w:ascii="仿宋" w:eastAsia="仿宋" w:hAnsi="仿宋" w:hint="eastAsia"/>
                <w:sz w:val="24"/>
                <w:szCs w:val="24"/>
              </w:rPr>
              <w:t>3</w:t>
            </w:r>
          </w:p>
        </w:tc>
        <w:tc>
          <w:tcPr>
            <w:tcW w:w="2250" w:type="dxa"/>
          </w:tcPr>
          <w:p w14:paraId="5E0A4779" w14:textId="529ED032" w:rsidR="00C974F6" w:rsidRPr="00EC33B5" w:rsidRDefault="00E718B8" w:rsidP="000F657A">
            <w:pPr>
              <w:rPr>
                <w:rFonts w:ascii="仿宋" w:eastAsia="仿宋" w:hAnsi="仿宋" w:hint="eastAsia"/>
                <w:sz w:val="24"/>
                <w:szCs w:val="24"/>
              </w:rPr>
            </w:pPr>
            <w:r w:rsidRPr="00EC33B5">
              <w:rPr>
                <w:rFonts w:ascii="仿宋" w:eastAsia="仿宋" w:hAnsi="仿宋"/>
                <w:sz w:val="24"/>
                <w:szCs w:val="24"/>
              </w:rPr>
              <w:t>《青年记者》2017年14期引用“不战而胜”作为文化传播中的意识形态斗争案例。</w:t>
            </w:r>
          </w:p>
        </w:tc>
        <w:tc>
          <w:tcPr>
            <w:tcW w:w="2853" w:type="dxa"/>
          </w:tcPr>
          <w:p w14:paraId="4B64CD9D" w14:textId="574BDF88" w:rsidR="00C974F6" w:rsidRPr="00EC33B5" w:rsidRDefault="00E718B8" w:rsidP="000F657A">
            <w:pPr>
              <w:rPr>
                <w:rFonts w:ascii="仿宋" w:eastAsia="仿宋" w:hAnsi="仿宋" w:hint="eastAsia"/>
                <w:sz w:val="24"/>
                <w:szCs w:val="24"/>
              </w:rPr>
            </w:pPr>
            <w:r w:rsidRPr="00EC33B5">
              <w:rPr>
                <w:rFonts w:ascii="仿宋" w:eastAsia="仿宋" w:hAnsi="仿宋" w:hint="eastAsia"/>
                <w:sz w:val="24"/>
                <w:szCs w:val="24"/>
              </w:rPr>
              <w:t>美国前总统尼克松曾在《1999:不战而胜》一书中这样说过:“当有一天，中国的年轻人不再相信他们的老祖宗和宗教了，美国人就不战而胜了。”</w:t>
            </w:r>
            <w:r w:rsidRPr="00EC33B5">
              <w:rPr>
                <w:rFonts w:ascii="仿宋" w:eastAsia="仿宋" w:hAnsi="仿宋" w:hint="eastAsia"/>
                <w:sz w:val="24"/>
                <w:szCs w:val="24"/>
              </w:rPr>
              <w:t xml:space="preserve"> </w:t>
            </w:r>
          </w:p>
        </w:tc>
        <w:tc>
          <w:tcPr>
            <w:tcW w:w="1276" w:type="dxa"/>
          </w:tcPr>
          <w:p w14:paraId="7530E602" w14:textId="596034FE" w:rsidR="00C974F6" w:rsidRPr="00EC33B5" w:rsidRDefault="00E718B8" w:rsidP="000F657A">
            <w:pPr>
              <w:rPr>
                <w:rFonts w:ascii="仿宋" w:eastAsia="仿宋" w:hAnsi="仿宋" w:hint="eastAsia"/>
                <w:sz w:val="24"/>
                <w:szCs w:val="24"/>
              </w:rPr>
            </w:pPr>
            <w:hyperlink r:id="rId6" w:tgtFrame="_blank" w:history="1">
              <w:r w:rsidRPr="00EC33B5">
                <w:rPr>
                  <w:rStyle w:val="af"/>
                  <w:rFonts w:ascii="仿宋" w:eastAsia="仿宋" w:hAnsi="仿宋"/>
                  <w:sz w:val="24"/>
                  <w:szCs w:val="24"/>
                </w:rPr>
                <w:t>青年记者2017年14期</w:t>
              </w:r>
            </w:hyperlink>
          </w:p>
        </w:tc>
        <w:tc>
          <w:tcPr>
            <w:tcW w:w="1213" w:type="dxa"/>
          </w:tcPr>
          <w:p w14:paraId="6FF4E318" w14:textId="3AA12645" w:rsidR="00C974F6" w:rsidRPr="00EC33B5" w:rsidRDefault="00E718B8" w:rsidP="000F657A">
            <w:pPr>
              <w:rPr>
                <w:rFonts w:ascii="仿宋" w:eastAsia="仿宋" w:hAnsi="仿宋" w:hint="eastAsia"/>
                <w:sz w:val="24"/>
                <w:szCs w:val="24"/>
              </w:rPr>
            </w:pPr>
            <w:r w:rsidRPr="00EC33B5">
              <w:rPr>
                <w:rFonts w:ascii="仿宋" w:eastAsia="仿宋" w:hAnsi="仿宋"/>
                <w:sz w:val="24"/>
                <w:szCs w:val="24"/>
              </w:rPr>
              <w:t>期刊引用，</w:t>
            </w:r>
            <w:r w:rsidR="00EC33B5" w:rsidRPr="00EC33B5">
              <w:rPr>
                <w:rFonts w:ascii="仿宋" w:eastAsia="仿宋" w:hAnsi="仿宋"/>
                <w:sz w:val="24"/>
                <w:szCs w:val="24"/>
              </w:rPr>
              <w:t>但未明确标注原文出处，可信度</w:t>
            </w:r>
            <w:r w:rsidR="00EC33B5" w:rsidRPr="00EC33B5">
              <w:rPr>
                <w:rFonts w:ascii="仿宋" w:eastAsia="仿宋" w:hAnsi="仿宋" w:hint="eastAsia"/>
                <w:sz w:val="24"/>
                <w:szCs w:val="24"/>
              </w:rPr>
              <w:t>较低</w:t>
            </w:r>
          </w:p>
        </w:tc>
      </w:tr>
      <w:tr w:rsidR="00C974F6" w:rsidRPr="00EC33B5" w14:paraId="6968824F" w14:textId="77777777" w:rsidTr="00C974F6">
        <w:tc>
          <w:tcPr>
            <w:tcW w:w="704" w:type="dxa"/>
          </w:tcPr>
          <w:p w14:paraId="7246D899" w14:textId="3CDA2F6E" w:rsidR="00C974F6" w:rsidRPr="00EC33B5" w:rsidRDefault="00C974F6" w:rsidP="000F657A">
            <w:pPr>
              <w:rPr>
                <w:rFonts w:ascii="仿宋" w:eastAsia="仿宋" w:hAnsi="仿宋" w:hint="eastAsia"/>
                <w:sz w:val="24"/>
                <w:szCs w:val="24"/>
              </w:rPr>
            </w:pPr>
            <w:r w:rsidRPr="00EC33B5">
              <w:rPr>
                <w:rFonts w:ascii="仿宋" w:eastAsia="仿宋" w:hAnsi="仿宋" w:hint="eastAsia"/>
                <w:sz w:val="24"/>
                <w:szCs w:val="24"/>
              </w:rPr>
              <w:t>4</w:t>
            </w:r>
          </w:p>
        </w:tc>
        <w:tc>
          <w:tcPr>
            <w:tcW w:w="2250" w:type="dxa"/>
          </w:tcPr>
          <w:p w14:paraId="22F05EBE" w14:textId="16FBD22A" w:rsidR="00C974F6" w:rsidRPr="00EC33B5" w:rsidRDefault="00E718B8" w:rsidP="000F657A">
            <w:pPr>
              <w:rPr>
                <w:rFonts w:ascii="仿宋" w:eastAsia="仿宋" w:hAnsi="仿宋" w:hint="eastAsia"/>
                <w:sz w:val="24"/>
                <w:szCs w:val="24"/>
              </w:rPr>
            </w:pPr>
            <w:r w:rsidRPr="00EC33B5">
              <w:rPr>
                <w:rFonts w:ascii="仿宋" w:eastAsia="仿宋" w:hAnsi="仿宋"/>
                <w:sz w:val="24"/>
                <w:szCs w:val="24"/>
              </w:rPr>
              <w:t>《人文天下》引用“不战而胜”作为文化自信议题的背景描述。</w:t>
            </w:r>
          </w:p>
        </w:tc>
        <w:tc>
          <w:tcPr>
            <w:tcW w:w="2853" w:type="dxa"/>
          </w:tcPr>
          <w:p w14:paraId="7A6F6DEB" w14:textId="7B0468D7" w:rsidR="00C974F6" w:rsidRPr="00EC33B5" w:rsidRDefault="00E718B8" w:rsidP="000F657A">
            <w:pPr>
              <w:rPr>
                <w:rFonts w:ascii="仿宋" w:eastAsia="仿宋" w:hAnsi="仿宋" w:hint="eastAsia"/>
                <w:sz w:val="24"/>
                <w:szCs w:val="24"/>
              </w:rPr>
            </w:pPr>
            <w:r w:rsidRPr="00EC33B5">
              <w:rPr>
                <w:rFonts w:ascii="仿宋" w:eastAsia="仿宋" w:hAnsi="仿宋" w:hint="eastAsia"/>
                <w:sz w:val="24"/>
                <w:szCs w:val="24"/>
              </w:rPr>
              <w:t>党的十九大报告指出，“没有高度的文化自信，没有文化的繁荣兴盛，就没有中华民族伟大复兴”，然而尼克松在《1999 不战而胜》中写道:“当有一天中国的年轻人已经不再相信他们老祖宗的教导和他们的传统文化，我们美国人就不战而胜了。”</w:t>
            </w:r>
          </w:p>
        </w:tc>
        <w:tc>
          <w:tcPr>
            <w:tcW w:w="1276" w:type="dxa"/>
          </w:tcPr>
          <w:p w14:paraId="1FD8DAD7" w14:textId="34118C07" w:rsidR="00C974F6" w:rsidRPr="00EC33B5" w:rsidRDefault="00E718B8" w:rsidP="000F657A">
            <w:pPr>
              <w:rPr>
                <w:rFonts w:ascii="仿宋" w:eastAsia="仿宋" w:hAnsi="仿宋" w:hint="eastAsia"/>
                <w:sz w:val="24"/>
                <w:szCs w:val="24"/>
              </w:rPr>
            </w:pPr>
            <w:hyperlink r:id="rId7" w:tgtFrame="_blank" w:history="1">
              <w:r w:rsidRPr="00EC33B5">
                <w:rPr>
                  <w:rStyle w:val="af"/>
                  <w:rFonts w:ascii="仿宋" w:eastAsia="仿宋" w:hAnsi="仿宋"/>
                  <w:sz w:val="24"/>
                  <w:szCs w:val="24"/>
                </w:rPr>
                <w:t>人文天下</w:t>
              </w:r>
            </w:hyperlink>
          </w:p>
        </w:tc>
        <w:tc>
          <w:tcPr>
            <w:tcW w:w="1213" w:type="dxa"/>
          </w:tcPr>
          <w:p w14:paraId="5D50375B" w14:textId="680F809C" w:rsidR="00C974F6" w:rsidRPr="00EC33B5" w:rsidRDefault="00EC33B5" w:rsidP="000F657A">
            <w:pPr>
              <w:rPr>
                <w:rFonts w:ascii="仿宋" w:eastAsia="仿宋" w:hAnsi="仿宋" w:hint="eastAsia"/>
                <w:sz w:val="24"/>
                <w:szCs w:val="24"/>
              </w:rPr>
            </w:pPr>
            <w:r w:rsidRPr="00EC33B5">
              <w:rPr>
                <w:rFonts w:ascii="仿宋" w:eastAsia="仿宋" w:hAnsi="仿宋" w:hint="eastAsia"/>
                <w:sz w:val="24"/>
                <w:szCs w:val="24"/>
              </w:rPr>
              <w:t>虽然出现了整体字句，但没有标明出处，可信度较低</w:t>
            </w:r>
          </w:p>
        </w:tc>
      </w:tr>
      <w:tr w:rsidR="00C974F6" w:rsidRPr="00EC33B5" w14:paraId="6335C0B1" w14:textId="77777777" w:rsidTr="00C974F6">
        <w:tc>
          <w:tcPr>
            <w:tcW w:w="704" w:type="dxa"/>
          </w:tcPr>
          <w:p w14:paraId="3F33F32D" w14:textId="195A6368" w:rsidR="00C974F6" w:rsidRPr="00EC33B5" w:rsidRDefault="00C974F6" w:rsidP="000F657A">
            <w:pPr>
              <w:rPr>
                <w:rFonts w:ascii="仿宋" w:eastAsia="仿宋" w:hAnsi="仿宋" w:hint="eastAsia"/>
                <w:sz w:val="24"/>
                <w:szCs w:val="24"/>
              </w:rPr>
            </w:pPr>
            <w:r w:rsidRPr="00EC33B5">
              <w:rPr>
                <w:rFonts w:ascii="仿宋" w:eastAsia="仿宋" w:hAnsi="仿宋" w:hint="eastAsia"/>
                <w:sz w:val="24"/>
                <w:szCs w:val="24"/>
              </w:rPr>
              <w:t>5</w:t>
            </w:r>
          </w:p>
        </w:tc>
        <w:tc>
          <w:tcPr>
            <w:tcW w:w="2250" w:type="dxa"/>
          </w:tcPr>
          <w:p w14:paraId="4704E196" w14:textId="44037651" w:rsidR="00C974F6" w:rsidRPr="00EC33B5" w:rsidRDefault="00E718B8" w:rsidP="000F657A">
            <w:pPr>
              <w:rPr>
                <w:rFonts w:ascii="仿宋" w:eastAsia="仿宋" w:hAnsi="仿宋" w:hint="eastAsia"/>
                <w:sz w:val="24"/>
                <w:szCs w:val="24"/>
              </w:rPr>
            </w:pPr>
            <w:r w:rsidRPr="00EC33B5">
              <w:rPr>
                <w:rFonts w:ascii="仿宋" w:eastAsia="仿宋" w:hAnsi="仿宋"/>
                <w:sz w:val="24"/>
                <w:szCs w:val="24"/>
              </w:rPr>
              <w:t>《党史文化》2007年第8期描述尼克松思想，提及“不</w:t>
            </w:r>
            <w:r w:rsidRPr="00EC33B5">
              <w:rPr>
                <w:rFonts w:ascii="仿宋" w:eastAsia="仿宋" w:hAnsi="仿宋"/>
                <w:sz w:val="24"/>
                <w:szCs w:val="24"/>
              </w:rPr>
              <w:lastRenderedPageBreak/>
              <w:t>战而胜”为后人概括。</w:t>
            </w:r>
          </w:p>
        </w:tc>
        <w:tc>
          <w:tcPr>
            <w:tcW w:w="2853" w:type="dxa"/>
          </w:tcPr>
          <w:p w14:paraId="214F01F9" w14:textId="23E1C996" w:rsidR="00C974F6" w:rsidRPr="00EC33B5" w:rsidRDefault="00E718B8" w:rsidP="000F657A">
            <w:pPr>
              <w:rPr>
                <w:rFonts w:ascii="仿宋" w:eastAsia="仿宋" w:hAnsi="仿宋" w:hint="eastAsia"/>
                <w:sz w:val="24"/>
                <w:szCs w:val="24"/>
              </w:rPr>
            </w:pPr>
            <w:r w:rsidRPr="00EC33B5">
              <w:rPr>
                <w:rFonts w:ascii="仿宋" w:eastAsia="仿宋" w:hAnsi="仿宋" w:hint="eastAsia"/>
                <w:sz w:val="24"/>
                <w:szCs w:val="24"/>
              </w:rPr>
              <w:lastRenderedPageBreak/>
              <w:t>尼克松上台后，奉行“均势外交”，力图对苏联和东欧国家进行思想文化</w:t>
            </w:r>
            <w:r w:rsidRPr="00EC33B5">
              <w:rPr>
                <w:rFonts w:ascii="仿宋" w:eastAsia="仿宋" w:hAnsi="仿宋" w:hint="eastAsia"/>
                <w:sz w:val="24"/>
                <w:szCs w:val="24"/>
              </w:rPr>
              <w:lastRenderedPageBreak/>
              <w:t>渗透，通过宣扬以个人利益为核心的自由、民主、人权等西方价值观来同马克思主义的意识形态相抗衡。</w:t>
            </w:r>
          </w:p>
        </w:tc>
        <w:tc>
          <w:tcPr>
            <w:tcW w:w="1276" w:type="dxa"/>
          </w:tcPr>
          <w:p w14:paraId="6F0B760F" w14:textId="38C67CE5" w:rsidR="00C974F6" w:rsidRPr="00EC33B5" w:rsidRDefault="00E718B8" w:rsidP="000F657A">
            <w:pPr>
              <w:rPr>
                <w:rFonts w:ascii="仿宋" w:eastAsia="仿宋" w:hAnsi="仿宋" w:hint="eastAsia"/>
                <w:sz w:val="24"/>
                <w:szCs w:val="24"/>
              </w:rPr>
            </w:pPr>
            <w:hyperlink r:id="rId8" w:tgtFrame="_blank" w:history="1">
              <w:r w:rsidRPr="00EC33B5">
                <w:rPr>
                  <w:rStyle w:val="af"/>
                  <w:rFonts w:ascii="仿宋" w:eastAsia="仿宋" w:hAnsi="仿宋"/>
                  <w:sz w:val="24"/>
                  <w:szCs w:val="24"/>
                </w:rPr>
                <w:t>党史文化2007年第8期</w:t>
              </w:r>
            </w:hyperlink>
          </w:p>
        </w:tc>
        <w:tc>
          <w:tcPr>
            <w:tcW w:w="1213" w:type="dxa"/>
          </w:tcPr>
          <w:p w14:paraId="25BD1E07" w14:textId="01C9715F" w:rsidR="00C974F6" w:rsidRPr="00EC33B5" w:rsidRDefault="00E718B8" w:rsidP="000F657A">
            <w:pPr>
              <w:rPr>
                <w:rFonts w:ascii="仿宋" w:eastAsia="仿宋" w:hAnsi="仿宋" w:hint="eastAsia"/>
                <w:sz w:val="24"/>
                <w:szCs w:val="24"/>
              </w:rPr>
            </w:pPr>
            <w:r w:rsidRPr="00EC33B5">
              <w:rPr>
                <w:rFonts w:ascii="仿宋" w:eastAsia="仿宋" w:hAnsi="仿宋"/>
                <w:sz w:val="24"/>
                <w:szCs w:val="24"/>
              </w:rPr>
              <w:t>明确说明为后人概括，可信</w:t>
            </w:r>
            <w:r w:rsidRPr="00EC33B5">
              <w:rPr>
                <w:rFonts w:ascii="仿宋" w:eastAsia="仿宋" w:hAnsi="仿宋"/>
                <w:sz w:val="24"/>
                <w:szCs w:val="24"/>
              </w:rPr>
              <w:lastRenderedPageBreak/>
              <w:t>度较高。</w:t>
            </w:r>
          </w:p>
        </w:tc>
      </w:tr>
      <w:tr w:rsidR="00C974F6" w:rsidRPr="00EC33B5" w14:paraId="08C5F606" w14:textId="77777777" w:rsidTr="00C974F6">
        <w:tc>
          <w:tcPr>
            <w:tcW w:w="704" w:type="dxa"/>
          </w:tcPr>
          <w:p w14:paraId="586885B8" w14:textId="3BA45B75" w:rsidR="00C974F6" w:rsidRPr="00EC33B5" w:rsidRDefault="00C974F6" w:rsidP="000F657A">
            <w:pPr>
              <w:rPr>
                <w:rFonts w:ascii="仿宋" w:eastAsia="仿宋" w:hAnsi="仿宋" w:hint="eastAsia"/>
                <w:sz w:val="24"/>
                <w:szCs w:val="24"/>
              </w:rPr>
            </w:pPr>
            <w:r w:rsidRPr="00EC33B5">
              <w:rPr>
                <w:rFonts w:ascii="仿宋" w:eastAsia="仿宋" w:hAnsi="仿宋" w:hint="eastAsia"/>
                <w:sz w:val="24"/>
                <w:szCs w:val="24"/>
              </w:rPr>
              <w:lastRenderedPageBreak/>
              <w:t>6</w:t>
            </w:r>
          </w:p>
        </w:tc>
        <w:tc>
          <w:tcPr>
            <w:tcW w:w="2250" w:type="dxa"/>
          </w:tcPr>
          <w:p w14:paraId="3CDECF71" w14:textId="1EA6CD5A" w:rsidR="00C974F6" w:rsidRPr="00EC33B5" w:rsidRDefault="00E718B8" w:rsidP="000F657A">
            <w:pPr>
              <w:rPr>
                <w:rFonts w:ascii="仿宋" w:eastAsia="仿宋" w:hAnsi="仿宋" w:hint="eastAsia"/>
                <w:sz w:val="24"/>
                <w:szCs w:val="24"/>
              </w:rPr>
            </w:pPr>
            <w:r w:rsidRPr="00EC33B5">
              <w:rPr>
                <w:rFonts w:ascii="仿宋" w:eastAsia="仿宋" w:hAnsi="仿宋"/>
                <w:sz w:val="24"/>
                <w:szCs w:val="24"/>
              </w:rPr>
              <w:t>学位论文《意识形态终结理论批判》深入剖析“不战而胜”为衍生解读。</w:t>
            </w:r>
          </w:p>
        </w:tc>
        <w:tc>
          <w:tcPr>
            <w:tcW w:w="2853" w:type="dxa"/>
          </w:tcPr>
          <w:p w14:paraId="4AC8F598" w14:textId="11D32CAC" w:rsidR="00C974F6" w:rsidRPr="00EC33B5" w:rsidRDefault="00E718B8" w:rsidP="000F657A">
            <w:pPr>
              <w:rPr>
                <w:rFonts w:ascii="仿宋" w:eastAsia="仿宋" w:hAnsi="仿宋" w:hint="eastAsia"/>
                <w:sz w:val="24"/>
                <w:szCs w:val="24"/>
              </w:rPr>
            </w:pPr>
            <w:r w:rsidRPr="00EC33B5">
              <w:rPr>
                <w:rFonts w:ascii="仿宋" w:eastAsia="仿宋" w:hAnsi="仿宋" w:hint="eastAsia"/>
                <w:sz w:val="24"/>
                <w:szCs w:val="24"/>
              </w:rPr>
              <w:t>尼克松就曾提到,“我们追求的并不是对其他国家或人民的胜利，而是自由的思想对于否定自由的极权专制思想的胜利。我们追求各国人民免受政治压迫的权利取胜。我们追求在世界任何地方取得对贫困、苦难和疾病的胜利。</w:t>
            </w:r>
            <w:r w:rsidRPr="00EC33B5">
              <w:rPr>
                <w:rFonts w:ascii="仿宋" w:eastAsia="仿宋" w:hAnsi="仿宋" w:hint="eastAsia"/>
                <w:sz w:val="24"/>
                <w:szCs w:val="24"/>
              </w:rPr>
              <w:t>“</w:t>
            </w:r>
          </w:p>
        </w:tc>
        <w:tc>
          <w:tcPr>
            <w:tcW w:w="1276" w:type="dxa"/>
          </w:tcPr>
          <w:p w14:paraId="0B0D05A2" w14:textId="77777777" w:rsidR="00E718B8" w:rsidRPr="00EC33B5" w:rsidRDefault="00E718B8" w:rsidP="00E718B8">
            <w:pPr>
              <w:rPr>
                <w:rFonts w:ascii="仿宋" w:eastAsia="仿宋" w:hAnsi="仿宋" w:hint="eastAsia"/>
                <w:sz w:val="24"/>
                <w:szCs w:val="24"/>
              </w:rPr>
            </w:pPr>
            <w:hyperlink r:id="rId9" w:history="1">
              <w:r w:rsidRPr="00EC33B5">
                <w:rPr>
                  <w:rStyle w:val="af"/>
                  <w:rFonts w:ascii="仿宋" w:eastAsia="仿宋" w:hAnsi="仿宋"/>
                  <w:sz w:val="24"/>
                  <w:szCs w:val="24"/>
                </w:rPr>
                <w:t>意识形态终结理论批判-学位-万方数据知识服务平台</w:t>
              </w:r>
            </w:hyperlink>
          </w:p>
          <w:p w14:paraId="1A82B65E" w14:textId="77777777" w:rsidR="00C974F6" w:rsidRPr="00EC33B5" w:rsidRDefault="00C974F6" w:rsidP="000F657A">
            <w:pPr>
              <w:rPr>
                <w:rFonts w:ascii="仿宋" w:eastAsia="仿宋" w:hAnsi="仿宋" w:hint="eastAsia"/>
                <w:sz w:val="24"/>
                <w:szCs w:val="24"/>
              </w:rPr>
            </w:pPr>
          </w:p>
        </w:tc>
        <w:tc>
          <w:tcPr>
            <w:tcW w:w="1213" w:type="dxa"/>
          </w:tcPr>
          <w:p w14:paraId="239AE813" w14:textId="19537148" w:rsidR="00C974F6" w:rsidRPr="00EC33B5" w:rsidRDefault="00E718B8" w:rsidP="000F657A">
            <w:pPr>
              <w:rPr>
                <w:rFonts w:ascii="仿宋" w:eastAsia="仿宋" w:hAnsi="仿宋" w:hint="eastAsia"/>
                <w:sz w:val="24"/>
                <w:szCs w:val="24"/>
              </w:rPr>
            </w:pPr>
            <w:r w:rsidRPr="00EC33B5">
              <w:rPr>
                <w:rFonts w:ascii="仿宋" w:eastAsia="仿宋" w:hAnsi="仿宋"/>
                <w:sz w:val="24"/>
                <w:szCs w:val="24"/>
              </w:rPr>
              <w:t>学术论文分析，可信度高。</w:t>
            </w:r>
          </w:p>
        </w:tc>
      </w:tr>
      <w:tr w:rsidR="00C974F6" w:rsidRPr="00EC33B5" w14:paraId="479D87D3" w14:textId="77777777" w:rsidTr="00C974F6">
        <w:tc>
          <w:tcPr>
            <w:tcW w:w="704" w:type="dxa"/>
          </w:tcPr>
          <w:p w14:paraId="457D9B12" w14:textId="2B5566B4" w:rsidR="00C974F6" w:rsidRPr="00EC33B5" w:rsidRDefault="00C974F6" w:rsidP="000F657A">
            <w:pPr>
              <w:rPr>
                <w:rFonts w:ascii="仿宋" w:eastAsia="仿宋" w:hAnsi="仿宋" w:hint="eastAsia"/>
                <w:sz w:val="24"/>
                <w:szCs w:val="24"/>
              </w:rPr>
            </w:pPr>
            <w:r w:rsidRPr="00EC33B5">
              <w:rPr>
                <w:rFonts w:ascii="仿宋" w:eastAsia="仿宋" w:hAnsi="仿宋" w:hint="eastAsia"/>
                <w:sz w:val="24"/>
                <w:szCs w:val="24"/>
              </w:rPr>
              <w:t>7</w:t>
            </w:r>
          </w:p>
        </w:tc>
        <w:tc>
          <w:tcPr>
            <w:tcW w:w="2250" w:type="dxa"/>
          </w:tcPr>
          <w:p w14:paraId="7EB2D2D5" w14:textId="489D5BE9" w:rsidR="00C974F6" w:rsidRPr="00EC33B5" w:rsidRDefault="00E718B8" w:rsidP="000F657A">
            <w:pPr>
              <w:rPr>
                <w:rFonts w:ascii="仿宋" w:eastAsia="仿宋" w:hAnsi="仿宋" w:hint="eastAsia"/>
                <w:sz w:val="24"/>
                <w:szCs w:val="24"/>
              </w:rPr>
            </w:pPr>
            <w:r w:rsidRPr="00EC33B5">
              <w:rPr>
                <w:rFonts w:ascii="仿宋" w:eastAsia="仿宋" w:hAnsi="仿宋"/>
                <w:sz w:val="24"/>
                <w:szCs w:val="24"/>
              </w:rPr>
              <w:t>国家哲学社会科学文献中心收录的读后感，未直接证实原文存在该言论。</w:t>
            </w:r>
          </w:p>
        </w:tc>
        <w:tc>
          <w:tcPr>
            <w:tcW w:w="2853" w:type="dxa"/>
          </w:tcPr>
          <w:p w14:paraId="2D4F38A8" w14:textId="13FFF77A" w:rsidR="00C974F6" w:rsidRPr="00EC33B5" w:rsidRDefault="00E718B8" w:rsidP="000F657A">
            <w:pPr>
              <w:rPr>
                <w:rFonts w:ascii="仿宋" w:eastAsia="仿宋" w:hAnsi="仿宋" w:hint="eastAsia"/>
                <w:sz w:val="24"/>
                <w:szCs w:val="24"/>
              </w:rPr>
            </w:pPr>
            <w:r w:rsidRPr="00EC33B5">
              <w:rPr>
                <w:rFonts w:ascii="仿宋" w:eastAsia="仿宋" w:hAnsi="仿宋" w:hint="eastAsia"/>
                <w:sz w:val="24"/>
                <w:szCs w:val="24"/>
              </w:rPr>
              <w:t>尼克松说，“最终决定人历史的不是式力，而是理想”(第3:3页)，而美国的“魅力不是来源于我们的财富或实力，而是来源于我们的理想”(第312页)，据说，这种理想以自由、自我实现，人权停等对立于社会主义的暴政和压迫，构成了资本主义对社会主义的绝对优势。</w:t>
            </w:r>
          </w:p>
        </w:tc>
        <w:tc>
          <w:tcPr>
            <w:tcW w:w="1276" w:type="dxa"/>
          </w:tcPr>
          <w:p w14:paraId="10037D61" w14:textId="77777777" w:rsidR="00E718B8" w:rsidRPr="00EC33B5" w:rsidRDefault="00E718B8" w:rsidP="00E718B8">
            <w:pPr>
              <w:rPr>
                <w:rFonts w:ascii="仿宋" w:eastAsia="仿宋" w:hAnsi="仿宋" w:hint="eastAsia"/>
                <w:sz w:val="24"/>
                <w:szCs w:val="24"/>
              </w:rPr>
            </w:pPr>
            <w:hyperlink r:id="rId10" w:history="1">
              <w:r w:rsidRPr="00EC33B5">
                <w:rPr>
                  <w:rStyle w:val="af"/>
                  <w:rFonts w:ascii="仿宋" w:eastAsia="仿宋" w:hAnsi="仿宋"/>
                  <w:sz w:val="24"/>
                  <w:szCs w:val="24"/>
                </w:rPr>
                <w:t>国家哲学社会科学文献中心</w:t>
              </w:r>
            </w:hyperlink>
          </w:p>
          <w:p w14:paraId="533D417F" w14:textId="77777777" w:rsidR="00C974F6" w:rsidRPr="00EC33B5" w:rsidRDefault="00C974F6" w:rsidP="000F657A">
            <w:pPr>
              <w:rPr>
                <w:rFonts w:ascii="仿宋" w:eastAsia="仿宋" w:hAnsi="仿宋" w:hint="eastAsia"/>
                <w:sz w:val="24"/>
                <w:szCs w:val="24"/>
              </w:rPr>
            </w:pPr>
          </w:p>
        </w:tc>
        <w:tc>
          <w:tcPr>
            <w:tcW w:w="1213" w:type="dxa"/>
          </w:tcPr>
          <w:p w14:paraId="70069560" w14:textId="09E0BD1B" w:rsidR="00C974F6" w:rsidRPr="00EC33B5" w:rsidRDefault="00EC33B5" w:rsidP="000F657A">
            <w:pPr>
              <w:rPr>
                <w:rFonts w:ascii="仿宋" w:eastAsia="仿宋" w:hAnsi="仿宋" w:hint="eastAsia"/>
                <w:sz w:val="24"/>
                <w:szCs w:val="24"/>
              </w:rPr>
            </w:pPr>
            <w:r w:rsidRPr="00EC33B5">
              <w:rPr>
                <w:rFonts w:ascii="仿宋" w:eastAsia="仿宋" w:hAnsi="仿宋"/>
                <w:sz w:val="24"/>
                <w:szCs w:val="24"/>
              </w:rPr>
              <w:t>明确说明为后人概括，可信度较高。</w:t>
            </w:r>
          </w:p>
        </w:tc>
      </w:tr>
    </w:tbl>
    <w:p w14:paraId="3FC22013" w14:textId="77777777" w:rsidR="00C974F6" w:rsidRPr="000F657A" w:rsidRDefault="00C974F6" w:rsidP="000F657A">
      <w:pPr>
        <w:rPr>
          <w:rFonts w:hint="eastAsia"/>
        </w:rPr>
      </w:pPr>
    </w:p>
    <w:sectPr w:rsidR="00C974F6" w:rsidRPr="000F657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57A"/>
    <w:rsid w:val="00011294"/>
    <w:rsid w:val="000F657A"/>
    <w:rsid w:val="001260E2"/>
    <w:rsid w:val="00174E60"/>
    <w:rsid w:val="00554B29"/>
    <w:rsid w:val="005F0214"/>
    <w:rsid w:val="00900D41"/>
    <w:rsid w:val="00C974F6"/>
    <w:rsid w:val="00E718B8"/>
    <w:rsid w:val="00EC33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A838CF"/>
  <w15:chartTrackingRefBased/>
  <w15:docId w15:val="{95FB927C-BBCD-4D6E-9BFD-A339F495D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F657A"/>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unhideWhenUsed/>
    <w:qFormat/>
    <w:rsid w:val="000F657A"/>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unhideWhenUsed/>
    <w:qFormat/>
    <w:rsid w:val="000F657A"/>
    <w:pPr>
      <w:keepNext/>
      <w:keepLines/>
      <w:spacing w:before="160" w:after="80"/>
      <w:outlineLvl w:val="2"/>
    </w:pPr>
    <w:rPr>
      <w:rFonts w:asciiTheme="majorHAnsi" w:eastAsia="仿宋" w:hAnsiTheme="majorHAnsi" w:cstheme="majorBidi"/>
      <w:color w:val="000000" w:themeColor="text1"/>
      <w:sz w:val="32"/>
      <w:szCs w:val="32"/>
    </w:rPr>
  </w:style>
  <w:style w:type="paragraph" w:styleId="4">
    <w:name w:val="heading 4"/>
    <w:basedOn w:val="a"/>
    <w:next w:val="a"/>
    <w:link w:val="40"/>
    <w:uiPriority w:val="9"/>
    <w:semiHidden/>
    <w:unhideWhenUsed/>
    <w:qFormat/>
    <w:rsid w:val="000F657A"/>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0F657A"/>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0F657A"/>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0F657A"/>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0F657A"/>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0F657A"/>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F657A"/>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rsid w:val="000F657A"/>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rsid w:val="000F657A"/>
    <w:rPr>
      <w:rFonts w:asciiTheme="majorHAnsi" w:eastAsia="仿宋" w:hAnsiTheme="majorHAnsi" w:cstheme="majorBidi"/>
      <w:color w:val="000000" w:themeColor="text1"/>
      <w:sz w:val="32"/>
      <w:szCs w:val="32"/>
    </w:rPr>
  </w:style>
  <w:style w:type="character" w:customStyle="1" w:styleId="40">
    <w:name w:val="标题 4 字符"/>
    <w:basedOn w:val="a0"/>
    <w:link w:val="4"/>
    <w:uiPriority w:val="9"/>
    <w:semiHidden/>
    <w:rsid w:val="000F657A"/>
    <w:rPr>
      <w:rFonts w:cstheme="majorBidi"/>
      <w:color w:val="0F4761" w:themeColor="accent1" w:themeShade="BF"/>
      <w:sz w:val="28"/>
      <w:szCs w:val="28"/>
    </w:rPr>
  </w:style>
  <w:style w:type="character" w:customStyle="1" w:styleId="50">
    <w:name w:val="标题 5 字符"/>
    <w:basedOn w:val="a0"/>
    <w:link w:val="5"/>
    <w:uiPriority w:val="9"/>
    <w:semiHidden/>
    <w:rsid w:val="000F657A"/>
    <w:rPr>
      <w:rFonts w:cstheme="majorBidi"/>
      <w:color w:val="0F4761" w:themeColor="accent1" w:themeShade="BF"/>
      <w:sz w:val="24"/>
      <w:szCs w:val="24"/>
    </w:rPr>
  </w:style>
  <w:style w:type="character" w:customStyle="1" w:styleId="60">
    <w:name w:val="标题 6 字符"/>
    <w:basedOn w:val="a0"/>
    <w:link w:val="6"/>
    <w:uiPriority w:val="9"/>
    <w:semiHidden/>
    <w:rsid w:val="000F657A"/>
    <w:rPr>
      <w:rFonts w:cstheme="majorBidi"/>
      <w:b/>
      <w:bCs/>
      <w:color w:val="0F4761" w:themeColor="accent1" w:themeShade="BF"/>
    </w:rPr>
  </w:style>
  <w:style w:type="character" w:customStyle="1" w:styleId="70">
    <w:name w:val="标题 7 字符"/>
    <w:basedOn w:val="a0"/>
    <w:link w:val="7"/>
    <w:uiPriority w:val="9"/>
    <w:semiHidden/>
    <w:rsid w:val="000F657A"/>
    <w:rPr>
      <w:rFonts w:cstheme="majorBidi"/>
      <w:b/>
      <w:bCs/>
      <w:color w:val="595959" w:themeColor="text1" w:themeTint="A6"/>
    </w:rPr>
  </w:style>
  <w:style w:type="character" w:customStyle="1" w:styleId="80">
    <w:name w:val="标题 8 字符"/>
    <w:basedOn w:val="a0"/>
    <w:link w:val="8"/>
    <w:uiPriority w:val="9"/>
    <w:semiHidden/>
    <w:rsid w:val="000F657A"/>
    <w:rPr>
      <w:rFonts w:cstheme="majorBidi"/>
      <w:color w:val="595959" w:themeColor="text1" w:themeTint="A6"/>
    </w:rPr>
  </w:style>
  <w:style w:type="character" w:customStyle="1" w:styleId="90">
    <w:name w:val="标题 9 字符"/>
    <w:basedOn w:val="a0"/>
    <w:link w:val="9"/>
    <w:uiPriority w:val="9"/>
    <w:semiHidden/>
    <w:rsid w:val="000F657A"/>
    <w:rPr>
      <w:rFonts w:eastAsiaTheme="majorEastAsia" w:cstheme="majorBidi"/>
      <w:color w:val="595959" w:themeColor="text1" w:themeTint="A6"/>
    </w:rPr>
  </w:style>
  <w:style w:type="paragraph" w:styleId="a3">
    <w:name w:val="Title"/>
    <w:basedOn w:val="a"/>
    <w:next w:val="a"/>
    <w:link w:val="a4"/>
    <w:uiPriority w:val="10"/>
    <w:qFormat/>
    <w:rsid w:val="000F657A"/>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0F657A"/>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0F657A"/>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0F657A"/>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0F657A"/>
    <w:pPr>
      <w:spacing w:before="160" w:after="160"/>
      <w:jc w:val="center"/>
    </w:pPr>
    <w:rPr>
      <w:i/>
      <w:iCs/>
      <w:color w:val="404040" w:themeColor="text1" w:themeTint="BF"/>
    </w:rPr>
  </w:style>
  <w:style w:type="character" w:customStyle="1" w:styleId="a8">
    <w:name w:val="引用 字符"/>
    <w:basedOn w:val="a0"/>
    <w:link w:val="a7"/>
    <w:uiPriority w:val="29"/>
    <w:rsid w:val="000F657A"/>
    <w:rPr>
      <w:i/>
      <w:iCs/>
      <w:color w:val="404040" w:themeColor="text1" w:themeTint="BF"/>
    </w:rPr>
  </w:style>
  <w:style w:type="paragraph" w:styleId="a9">
    <w:name w:val="List Paragraph"/>
    <w:basedOn w:val="a"/>
    <w:uiPriority w:val="34"/>
    <w:qFormat/>
    <w:rsid w:val="000F657A"/>
    <w:pPr>
      <w:ind w:left="720"/>
      <w:contextualSpacing/>
    </w:pPr>
  </w:style>
  <w:style w:type="character" w:styleId="aa">
    <w:name w:val="Intense Emphasis"/>
    <w:basedOn w:val="a0"/>
    <w:uiPriority w:val="21"/>
    <w:qFormat/>
    <w:rsid w:val="000F657A"/>
    <w:rPr>
      <w:i/>
      <w:iCs/>
      <w:color w:val="0F4761" w:themeColor="accent1" w:themeShade="BF"/>
    </w:rPr>
  </w:style>
  <w:style w:type="paragraph" w:styleId="ab">
    <w:name w:val="Intense Quote"/>
    <w:basedOn w:val="a"/>
    <w:next w:val="a"/>
    <w:link w:val="ac"/>
    <w:uiPriority w:val="30"/>
    <w:qFormat/>
    <w:rsid w:val="000F657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0F657A"/>
    <w:rPr>
      <w:i/>
      <w:iCs/>
      <w:color w:val="0F4761" w:themeColor="accent1" w:themeShade="BF"/>
    </w:rPr>
  </w:style>
  <w:style w:type="character" w:styleId="ad">
    <w:name w:val="Intense Reference"/>
    <w:basedOn w:val="a0"/>
    <w:uiPriority w:val="32"/>
    <w:qFormat/>
    <w:rsid w:val="000F657A"/>
    <w:rPr>
      <w:b/>
      <w:bCs/>
      <w:smallCaps/>
      <w:color w:val="0F4761" w:themeColor="accent1" w:themeShade="BF"/>
      <w:spacing w:val="5"/>
    </w:rPr>
  </w:style>
  <w:style w:type="table" w:styleId="ae">
    <w:name w:val="Table Grid"/>
    <w:basedOn w:val="a1"/>
    <w:uiPriority w:val="39"/>
    <w:rsid w:val="00C974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Hyperlink"/>
    <w:basedOn w:val="a0"/>
    <w:uiPriority w:val="99"/>
    <w:unhideWhenUsed/>
    <w:rsid w:val="00C974F6"/>
    <w:rPr>
      <w:color w:val="467886" w:themeColor="hyperlink"/>
      <w:u w:val="single"/>
    </w:rPr>
  </w:style>
  <w:style w:type="character" w:styleId="af0">
    <w:name w:val="Unresolved Mention"/>
    <w:basedOn w:val="a0"/>
    <w:uiPriority w:val="99"/>
    <w:semiHidden/>
    <w:unhideWhenUsed/>
    <w:rsid w:val="00C974F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ss.wanfangdata.com.cn/Catalog/List?fileId=perio_dswh200708012" TargetMode="External"/><Relationship Id="rId3" Type="http://schemas.openxmlformats.org/officeDocument/2006/relationships/webSettings" Target="webSettings.xml"/><Relationship Id="rId7" Type="http://schemas.openxmlformats.org/officeDocument/2006/relationships/hyperlink" Target="https://oss.wanfangdata.com.cn/Catalog/List?fileId=perio_xjck202005020"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oss.wanfangdata.com.cn/Catalog/List?fileId=perio_qnjz201714055" TargetMode="External"/><Relationship Id="rId11" Type="http://schemas.openxmlformats.org/officeDocument/2006/relationships/fontTable" Target="fontTable.xml"/><Relationship Id="rId5" Type="http://schemas.openxmlformats.org/officeDocument/2006/relationships/hyperlink" Target="https://oss.wanfangdata.com.cn/Catalog/List?fileId=perio_jxshkx201212043" TargetMode="External"/><Relationship Id="rId10" Type="http://schemas.openxmlformats.org/officeDocument/2006/relationships/hyperlink" Target="https://www.ncpssd.cn/Literature/articlelist?sType=0&amp;search=KElLVEU9IuWwvOWFi+adviDkuI3miJjogIzog5wiIE9SIElLUFlURT0i5bC85YWL5p2+IOS4jeaImOiAjOiDnCIgIE9SIElLU1Q9IuWwvOWFi+adviDkuI3miJjogIzog5wiIE9SIElLRVQ9IuWwvOWFi+adviDkuI3miJjogIzog5wiIE9SIElLU0U9IuWwvOWFi+adviDkuI3miJjogIzog5wiKQ==&amp;searchname=6aKY5ZCNL+WFs+mUruivjT0i5bC85YWL5p2+IOS4jeaImOiAjOiDnCI=&amp;nav=0&amp;ajaxKeys=5bC85YWL5p2+IOS4jeaImOiAjOiDnA==" TargetMode="External"/><Relationship Id="rId4" Type="http://schemas.openxmlformats.org/officeDocument/2006/relationships/hyperlink" Target="https://oss.wanfangdata.com.cn/Catalog/List?fileId=perio_glkxwz201711003" TargetMode="External"/><Relationship Id="rId9" Type="http://schemas.openxmlformats.org/officeDocument/2006/relationships/hyperlink" Target="https://d.wanfangdata.com.cn/thesis/ChhUaGVzaXNOZXdTMjAyNDA5MjAxNTE3MjUSB0QwNTI4MjYaCGNpa3I0eDFw"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347</Words>
  <Characters>1984</Characters>
  <Application>Microsoft Office Word</Application>
  <DocSecurity>0</DocSecurity>
  <Lines>16</Lines>
  <Paragraphs>4</Paragraphs>
  <ScaleCrop>false</ScaleCrop>
  <Company/>
  <LinksUpToDate>false</LinksUpToDate>
  <CharactersWithSpaces>2327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JiaJie He</dc:creator>
  <cp:keywords/>
  <dc:description/>
  <cp:lastModifiedBy>JiaJie He</cp:lastModifiedBy>
  <cp:revision>2</cp:revision>
  <dcterms:created xsi:type="dcterms:W3CDTF">2025-04-10T02:37:00Z</dcterms:created>
  <dcterms:modified xsi:type="dcterms:W3CDTF">2025-04-10T03:16:00Z</dcterms:modified>
</cp:coreProperties>
</file>