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F32E2" w14:textId="67082BB8" w:rsidR="00081010" w:rsidRPr="00081010" w:rsidRDefault="00081010" w:rsidP="00081010">
      <w:pPr>
        <w:pStyle w:val="3"/>
        <w:jc w:val="center"/>
        <w:rPr>
          <w:rFonts w:ascii="Times New Roman" w:eastAsia="宋体" w:hAnsi="Times New Roman" w:cs="Times New Roman"/>
          <w:b/>
          <w:bCs/>
          <w:color w:val="auto"/>
          <w:sz w:val="36"/>
          <w:szCs w:val="36"/>
        </w:rPr>
      </w:pPr>
      <w:r w:rsidRPr="00081010">
        <w:rPr>
          <w:rFonts w:ascii="Times New Roman" w:eastAsia="宋体" w:hAnsi="Times New Roman" w:cs="Times New Roman" w:hint="eastAsia"/>
          <w:b/>
          <w:bCs/>
          <w:color w:val="auto"/>
          <w:sz w:val="36"/>
          <w:szCs w:val="36"/>
        </w:rPr>
        <w:t>Grok</w:t>
      </w:r>
      <w:r w:rsidRPr="00081010">
        <w:rPr>
          <w:rFonts w:ascii="Times New Roman" w:eastAsia="宋体" w:hAnsi="Times New Roman" w:cs="Times New Roman"/>
          <w:b/>
          <w:bCs/>
          <w:color w:val="auto"/>
          <w:sz w:val="36"/>
          <w:szCs w:val="36"/>
        </w:rPr>
        <w:t>检索</w:t>
      </w:r>
      <w:r w:rsidRPr="00081010">
        <w:rPr>
          <w:rFonts w:ascii="Times New Roman" w:eastAsia="宋体" w:hAnsi="Times New Roman" w:cs="Times New Roman"/>
          <w:b/>
          <w:bCs/>
          <w:color w:val="auto"/>
          <w:sz w:val="36"/>
          <w:szCs w:val="36"/>
        </w:rPr>
        <w:t>——</w:t>
      </w:r>
      <w:r w:rsidRPr="00081010">
        <w:rPr>
          <w:rFonts w:ascii="Times New Roman" w:eastAsia="宋体" w:hAnsi="Times New Roman" w:cs="Times New Roman"/>
          <w:b/>
          <w:bCs/>
          <w:color w:val="auto"/>
          <w:sz w:val="36"/>
          <w:szCs w:val="36"/>
        </w:rPr>
        <w:t>分析</w:t>
      </w:r>
    </w:p>
    <w:p w14:paraId="00AFCFAA" w14:textId="77777777" w:rsidR="00081010" w:rsidRPr="00081010" w:rsidRDefault="00081010" w:rsidP="00081010">
      <w:pPr>
        <w:pStyle w:val="3"/>
        <w:jc w:val="center"/>
        <w:rPr>
          <w:rFonts w:hint="eastAsia"/>
          <w:color w:val="auto"/>
        </w:rPr>
      </w:pPr>
      <w:r w:rsidRPr="00081010">
        <w:rPr>
          <w:rFonts w:hint="eastAsia"/>
          <w:color w:val="auto"/>
        </w:rPr>
        <w:t>一、</w:t>
      </w:r>
      <w:r w:rsidRPr="00081010">
        <w:rPr>
          <w:color w:val="auto"/>
        </w:rPr>
        <w:t>可信度分析表</w:t>
      </w:r>
    </w:p>
    <w:tbl>
      <w:tblPr>
        <w:tblStyle w:val="af2"/>
        <w:tblW w:w="10995" w:type="dxa"/>
        <w:tblInd w:w="-1143" w:type="dxa"/>
        <w:tblLook w:val="04A0" w:firstRow="1" w:lastRow="0" w:firstColumn="1" w:lastColumn="0" w:noHBand="0" w:noVBand="1"/>
      </w:tblPr>
      <w:tblGrid>
        <w:gridCol w:w="960"/>
        <w:gridCol w:w="2258"/>
        <w:gridCol w:w="2617"/>
        <w:gridCol w:w="3233"/>
        <w:gridCol w:w="1927"/>
      </w:tblGrid>
      <w:tr w:rsidR="00081010" w14:paraId="42365299" w14:textId="77777777" w:rsidTr="000671BE">
        <w:tc>
          <w:tcPr>
            <w:tcW w:w="960" w:type="dxa"/>
            <w:vAlign w:val="center"/>
          </w:tcPr>
          <w:p w14:paraId="73BE4BC6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bidi="ar"/>
              </w:rPr>
              <w:t>序号</w:t>
            </w:r>
          </w:p>
        </w:tc>
        <w:tc>
          <w:tcPr>
            <w:tcW w:w="2258" w:type="dxa"/>
            <w:vAlign w:val="center"/>
          </w:tcPr>
          <w:p w14:paraId="666DF2C6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bidi="ar"/>
              </w:rPr>
              <w:t>数据源类型</w:t>
            </w:r>
          </w:p>
        </w:tc>
        <w:tc>
          <w:tcPr>
            <w:tcW w:w="2617" w:type="dxa"/>
            <w:vAlign w:val="center"/>
          </w:tcPr>
          <w:p w14:paraId="23078773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bidi="ar"/>
              </w:rPr>
              <w:t>结论（是否提及该句）</w:t>
            </w:r>
          </w:p>
        </w:tc>
        <w:tc>
          <w:tcPr>
            <w:tcW w:w="3233" w:type="dxa"/>
            <w:vAlign w:val="center"/>
          </w:tcPr>
          <w:p w14:paraId="72E4015E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bidi="ar"/>
              </w:rPr>
              <w:t>可信度分析</w:t>
            </w:r>
          </w:p>
        </w:tc>
        <w:tc>
          <w:tcPr>
            <w:tcW w:w="1927" w:type="dxa"/>
            <w:vAlign w:val="center"/>
          </w:tcPr>
          <w:p w14:paraId="30157500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bidi="ar"/>
              </w:rPr>
              <w:t>最终判断</w:t>
            </w:r>
          </w:p>
        </w:tc>
      </w:tr>
      <w:tr w:rsidR="00081010" w14:paraId="6FB90640" w14:textId="77777777" w:rsidTr="000671BE">
        <w:tc>
          <w:tcPr>
            <w:tcW w:w="960" w:type="dxa"/>
            <w:vAlign w:val="center"/>
          </w:tcPr>
          <w:p w14:paraId="390B8A01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1</w:t>
            </w:r>
          </w:p>
        </w:tc>
        <w:tc>
          <w:tcPr>
            <w:tcW w:w="2258" w:type="dxa"/>
            <w:vAlign w:val="center"/>
          </w:tcPr>
          <w:p w14:paraId="0ABA1AB7" w14:textId="5ED3022D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尼克松图书馆</w:t>
            </w:r>
          </w:p>
        </w:tc>
        <w:tc>
          <w:tcPr>
            <w:tcW w:w="2617" w:type="dxa"/>
            <w:vAlign w:val="center"/>
          </w:tcPr>
          <w:p w14:paraId="209F837F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未提及</w:t>
            </w:r>
          </w:p>
        </w:tc>
        <w:tc>
          <w:tcPr>
            <w:tcW w:w="3233" w:type="dxa"/>
            <w:vAlign w:val="center"/>
          </w:tcPr>
          <w:p w14:paraId="22846EA3" w14:textId="51928B72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​</w:t>
            </w:r>
            <w:r>
              <w:rPr>
                <w:rStyle w:val="af3"/>
                <w:b w:val="0"/>
                <w:bCs/>
                <w:sz w:val="24"/>
                <w:szCs w:val="24"/>
                <w:lang w:bidi="ar"/>
              </w:rPr>
              <w:t>可信度极高</w:t>
            </w:r>
            <w:r>
              <w:rPr>
                <w:sz w:val="24"/>
                <w:szCs w:val="24"/>
                <w:lang w:bidi="ar"/>
              </w:rPr>
              <w:t>：</w:t>
            </w:r>
            <w:r>
              <w:rPr>
                <w:rFonts w:hint="eastAsia"/>
                <w:sz w:val="24"/>
                <w:szCs w:val="24"/>
                <w:lang w:bidi="ar"/>
              </w:rPr>
              <w:t>信息属于官方来源</w:t>
            </w:r>
            <w:r>
              <w:rPr>
                <w:sz w:val="24"/>
                <w:szCs w:val="24"/>
                <w:lang w:bidi="ar"/>
              </w:rPr>
              <w:t>，经核查原文未出现</w:t>
            </w:r>
            <w:r>
              <w:rPr>
                <w:rFonts w:hint="eastAsia"/>
                <w:sz w:val="24"/>
                <w:szCs w:val="24"/>
                <w:lang w:bidi="ar"/>
              </w:rPr>
              <w:t>表达不战而胜的观点，</w:t>
            </w:r>
            <w:r>
              <w:rPr>
                <w:sz w:val="24"/>
                <w:szCs w:val="24"/>
                <w:lang w:bidi="ar"/>
              </w:rPr>
              <w:t>结论可靠。</w:t>
            </w:r>
          </w:p>
        </w:tc>
        <w:tc>
          <w:tcPr>
            <w:tcW w:w="1927" w:type="dxa"/>
            <w:vAlign w:val="center"/>
          </w:tcPr>
          <w:p w14:paraId="4D953257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结论真实</w:t>
            </w:r>
          </w:p>
        </w:tc>
      </w:tr>
      <w:tr w:rsidR="00081010" w14:paraId="2985984A" w14:textId="77777777" w:rsidTr="000671BE">
        <w:tc>
          <w:tcPr>
            <w:tcW w:w="960" w:type="dxa"/>
            <w:vAlign w:val="center"/>
          </w:tcPr>
          <w:p w14:paraId="2831AC81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2</w:t>
            </w:r>
          </w:p>
        </w:tc>
        <w:tc>
          <w:tcPr>
            <w:tcW w:w="2258" w:type="dxa"/>
            <w:vAlign w:val="center"/>
          </w:tcPr>
          <w:p w14:paraId="14B39008" w14:textId="6F758FB9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维基百科描述</w:t>
            </w:r>
          </w:p>
        </w:tc>
        <w:tc>
          <w:tcPr>
            <w:tcW w:w="2617" w:type="dxa"/>
            <w:vAlign w:val="center"/>
          </w:tcPr>
          <w:p w14:paraId="47A93B1A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未提及</w:t>
            </w:r>
          </w:p>
        </w:tc>
        <w:tc>
          <w:tcPr>
            <w:tcW w:w="3233" w:type="dxa"/>
            <w:vAlign w:val="center"/>
          </w:tcPr>
          <w:p w14:paraId="424D3720" w14:textId="4117E4EF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​</w:t>
            </w:r>
            <w:r>
              <w:rPr>
                <w:rStyle w:val="af3"/>
                <w:b w:val="0"/>
                <w:bCs/>
                <w:sz w:val="24"/>
                <w:szCs w:val="24"/>
                <w:lang w:bidi="ar"/>
              </w:rPr>
              <w:t>可信度高</w:t>
            </w:r>
            <w:r>
              <w:rPr>
                <w:sz w:val="24"/>
                <w:szCs w:val="24"/>
                <w:lang w:bidi="ar"/>
              </w:rPr>
              <w:t>：</w:t>
            </w:r>
            <w:r>
              <w:rPr>
                <w:rFonts w:hint="eastAsia"/>
                <w:sz w:val="24"/>
                <w:szCs w:val="24"/>
                <w:lang w:bidi="ar"/>
              </w:rPr>
              <w:t>信息属于可靠来源</w:t>
            </w:r>
            <w:r>
              <w:rPr>
                <w:sz w:val="24"/>
                <w:szCs w:val="24"/>
                <w:lang w:bidi="ar"/>
              </w:rPr>
              <w:t>，内容聚焦尼克松</w:t>
            </w:r>
            <w:r>
              <w:rPr>
                <w:rFonts w:hint="eastAsia"/>
                <w:sz w:val="24"/>
                <w:szCs w:val="24"/>
                <w:lang w:bidi="ar"/>
              </w:rPr>
              <w:t>访华事件</w:t>
            </w:r>
            <w:r>
              <w:rPr>
                <w:sz w:val="24"/>
                <w:szCs w:val="24"/>
                <w:lang w:bidi="ar"/>
              </w:rPr>
              <w:t>，但</w:t>
            </w:r>
            <w:r>
              <w:rPr>
                <w:rFonts w:hint="eastAsia"/>
                <w:sz w:val="24"/>
                <w:szCs w:val="24"/>
                <w:lang w:bidi="ar"/>
              </w:rPr>
              <w:t>显然并</w:t>
            </w:r>
            <w:r>
              <w:rPr>
                <w:sz w:val="24"/>
                <w:szCs w:val="24"/>
                <w:lang w:bidi="ar"/>
              </w:rPr>
              <w:t>未涉及文化渗透相关言论。</w:t>
            </w:r>
          </w:p>
        </w:tc>
        <w:tc>
          <w:tcPr>
            <w:tcW w:w="1927" w:type="dxa"/>
            <w:vAlign w:val="center"/>
          </w:tcPr>
          <w:p w14:paraId="2748A8EF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结论真实</w:t>
            </w:r>
          </w:p>
        </w:tc>
      </w:tr>
      <w:tr w:rsidR="00081010" w14:paraId="68D5647A" w14:textId="77777777" w:rsidTr="000671BE">
        <w:tc>
          <w:tcPr>
            <w:tcW w:w="960" w:type="dxa"/>
            <w:vAlign w:val="center"/>
          </w:tcPr>
          <w:p w14:paraId="053022F5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3</w:t>
            </w:r>
          </w:p>
        </w:tc>
        <w:tc>
          <w:tcPr>
            <w:tcW w:w="2258" w:type="dxa"/>
            <w:vAlign w:val="center"/>
          </w:tcPr>
          <w:p w14:paraId="22B9BCD7" w14:textId="71A6C98D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米勒中心分析尼克松外交政策</w:t>
            </w:r>
          </w:p>
        </w:tc>
        <w:tc>
          <w:tcPr>
            <w:tcW w:w="2617" w:type="dxa"/>
            <w:vAlign w:val="center"/>
          </w:tcPr>
          <w:p w14:paraId="4A8E418C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未提及</w:t>
            </w:r>
          </w:p>
        </w:tc>
        <w:tc>
          <w:tcPr>
            <w:tcW w:w="3233" w:type="dxa"/>
            <w:vAlign w:val="center"/>
          </w:tcPr>
          <w:p w14:paraId="4E756F9A" w14:textId="0B96CB9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​</w:t>
            </w:r>
            <w:r>
              <w:rPr>
                <w:rStyle w:val="af3"/>
                <w:b w:val="0"/>
                <w:bCs/>
                <w:sz w:val="24"/>
                <w:szCs w:val="24"/>
                <w:lang w:bidi="ar"/>
              </w:rPr>
              <w:t>可信度</w:t>
            </w:r>
            <w:r>
              <w:rPr>
                <w:rStyle w:val="af3"/>
                <w:rFonts w:hint="eastAsia"/>
                <w:b w:val="0"/>
                <w:bCs/>
                <w:sz w:val="24"/>
                <w:szCs w:val="24"/>
                <w:lang w:bidi="ar"/>
              </w:rPr>
              <w:t>中等</w:t>
            </w:r>
            <w:r>
              <w:rPr>
                <w:sz w:val="24"/>
                <w:szCs w:val="24"/>
                <w:lang w:bidi="ar"/>
              </w:rPr>
              <w:t>：</w:t>
            </w:r>
            <w:r w:rsidR="00EC428E">
              <w:rPr>
                <w:rFonts w:hint="eastAsia"/>
                <w:sz w:val="24"/>
                <w:szCs w:val="24"/>
                <w:lang w:bidi="ar"/>
              </w:rPr>
              <w:t>信息属于美国的一个公共政策机构</w:t>
            </w:r>
            <w:r>
              <w:rPr>
                <w:sz w:val="24"/>
                <w:szCs w:val="24"/>
                <w:lang w:bidi="ar"/>
              </w:rPr>
              <w:t>，但</w:t>
            </w:r>
            <w:r w:rsidR="00EC428E">
              <w:rPr>
                <w:rFonts w:hint="eastAsia"/>
                <w:sz w:val="24"/>
                <w:szCs w:val="24"/>
                <w:lang w:bidi="ar"/>
              </w:rPr>
              <w:t>分析</w:t>
            </w:r>
            <w:r>
              <w:rPr>
                <w:sz w:val="24"/>
                <w:szCs w:val="24"/>
                <w:lang w:bidi="ar"/>
              </w:rPr>
              <w:t>范围限于书中的</w:t>
            </w:r>
            <w:r w:rsidR="00EC428E">
              <w:rPr>
                <w:rFonts w:hint="eastAsia"/>
                <w:sz w:val="24"/>
                <w:szCs w:val="24"/>
                <w:lang w:bidi="ar"/>
              </w:rPr>
              <w:t>对中</w:t>
            </w:r>
            <w:r>
              <w:rPr>
                <w:sz w:val="24"/>
                <w:szCs w:val="24"/>
                <w:lang w:bidi="ar"/>
              </w:rPr>
              <w:t>策略分析</w:t>
            </w:r>
            <w:r w:rsidR="00EC428E">
              <w:rPr>
                <w:rFonts w:hint="eastAsia"/>
                <w:sz w:val="24"/>
                <w:szCs w:val="24"/>
                <w:lang w:bidi="ar"/>
              </w:rPr>
              <w:t>，</w:t>
            </w:r>
            <w:r>
              <w:rPr>
                <w:sz w:val="24"/>
                <w:szCs w:val="24"/>
                <w:lang w:bidi="ar"/>
              </w:rPr>
              <w:t>评论者未提及</w:t>
            </w:r>
            <w:r w:rsidR="00EC428E">
              <w:rPr>
                <w:rFonts w:hint="eastAsia"/>
                <w:sz w:val="24"/>
                <w:szCs w:val="24"/>
                <w:lang w:bidi="ar"/>
              </w:rPr>
              <w:t>不战而胜的观点，有</w:t>
            </w:r>
            <w:r>
              <w:rPr>
                <w:sz w:val="24"/>
                <w:szCs w:val="24"/>
                <w:lang w:bidi="ar"/>
              </w:rPr>
              <w:t>可能因其关注重点不同，需结合其他来源交叉验证。</w:t>
            </w:r>
          </w:p>
        </w:tc>
        <w:tc>
          <w:tcPr>
            <w:tcW w:w="1927" w:type="dxa"/>
            <w:vAlign w:val="center"/>
          </w:tcPr>
          <w:p w14:paraId="0A473553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结论真实但局限</w:t>
            </w:r>
          </w:p>
        </w:tc>
      </w:tr>
      <w:tr w:rsidR="00081010" w14:paraId="67E82BA9" w14:textId="77777777" w:rsidTr="000671BE">
        <w:tc>
          <w:tcPr>
            <w:tcW w:w="960" w:type="dxa"/>
            <w:vAlign w:val="center"/>
          </w:tcPr>
          <w:p w14:paraId="5D7C866B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4</w:t>
            </w:r>
          </w:p>
        </w:tc>
        <w:tc>
          <w:tcPr>
            <w:tcW w:w="2258" w:type="dxa"/>
            <w:vAlign w:val="center"/>
          </w:tcPr>
          <w:p w14:paraId="0D3D9882" w14:textId="183781B4" w:rsidR="00081010" w:rsidRDefault="00EC428E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  <w:lang w:bidi="ar"/>
              </w:rPr>
              <w:t>GoodReads</w:t>
            </w:r>
            <w:proofErr w:type="spellEnd"/>
            <w:r>
              <w:rPr>
                <w:rFonts w:hint="eastAsia"/>
                <w:sz w:val="24"/>
                <w:szCs w:val="24"/>
                <w:lang w:bidi="ar"/>
              </w:rPr>
              <w:t>的书评《尼克松回忆录》</w:t>
            </w:r>
          </w:p>
        </w:tc>
        <w:tc>
          <w:tcPr>
            <w:tcW w:w="2617" w:type="dxa"/>
            <w:vAlign w:val="center"/>
          </w:tcPr>
          <w:p w14:paraId="0F105A58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未提及</w:t>
            </w:r>
          </w:p>
        </w:tc>
        <w:tc>
          <w:tcPr>
            <w:tcW w:w="3233" w:type="dxa"/>
            <w:vAlign w:val="center"/>
          </w:tcPr>
          <w:p w14:paraId="01668E68" w14:textId="1F05FE3C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​</w:t>
            </w:r>
            <w:r>
              <w:rPr>
                <w:rStyle w:val="af3"/>
                <w:b w:val="0"/>
                <w:bCs/>
                <w:sz w:val="24"/>
                <w:szCs w:val="24"/>
                <w:lang w:bidi="ar"/>
              </w:rPr>
              <w:t>可信度中等</w:t>
            </w:r>
            <w:r>
              <w:rPr>
                <w:sz w:val="24"/>
                <w:szCs w:val="24"/>
                <w:lang w:bidi="ar"/>
              </w:rPr>
              <w:t>：</w:t>
            </w:r>
            <w:r w:rsidR="00EC428E">
              <w:rPr>
                <w:rFonts w:hint="eastAsia"/>
                <w:sz w:val="24"/>
                <w:szCs w:val="24"/>
                <w:lang w:bidi="ar"/>
              </w:rPr>
              <w:t>信息来源于全球著名的书评网站</w:t>
            </w:r>
            <w:r>
              <w:rPr>
                <w:sz w:val="24"/>
                <w:szCs w:val="24"/>
                <w:lang w:bidi="ar"/>
              </w:rPr>
              <w:t>，</w:t>
            </w:r>
            <w:r w:rsidR="00EC428E">
              <w:rPr>
                <w:rFonts w:hint="eastAsia"/>
                <w:sz w:val="24"/>
                <w:szCs w:val="24"/>
                <w:lang w:bidi="ar"/>
              </w:rPr>
              <w:t>大部分书评都没有针对该书发表不战而胜的观点，但由于书评者来自各个国家，内容多且杂，</w:t>
            </w:r>
            <w:r>
              <w:rPr>
                <w:sz w:val="24"/>
                <w:szCs w:val="24"/>
                <w:lang w:bidi="ar"/>
              </w:rPr>
              <w:t>其</w:t>
            </w:r>
            <w:r w:rsidR="00EC428E">
              <w:rPr>
                <w:rFonts w:hint="eastAsia"/>
                <w:sz w:val="24"/>
                <w:szCs w:val="24"/>
                <w:lang w:bidi="ar"/>
              </w:rPr>
              <w:t>完整性</w:t>
            </w:r>
            <w:r>
              <w:rPr>
                <w:sz w:val="24"/>
                <w:szCs w:val="24"/>
                <w:lang w:bidi="ar"/>
              </w:rPr>
              <w:t>可能不足，需结合原书判断。</w:t>
            </w:r>
          </w:p>
        </w:tc>
        <w:tc>
          <w:tcPr>
            <w:tcW w:w="1927" w:type="dxa"/>
            <w:vAlign w:val="center"/>
          </w:tcPr>
          <w:p w14:paraId="5671D43E" w14:textId="1F48E487" w:rsidR="00081010" w:rsidRDefault="00EC428E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结论真实但局限</w:t>
            </w:r>
          </w:p>
        </w:tc>
      </w:tr>
      <w:tr w:rsidR="00081010" w14:paraId="734A8CE2" w14:textId="77777777" w:rsidTr="000671BE">
        <w:tc>
          <w:tcPr>
            <w:tcW w:w="960" w:type="dxa"/>
            <w:vAlign w:val="center"/>
          </w:tcPr>
          <w:p w14:paraId="50DFCF3B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5</w:t>
            </w:r>
          </w:p>
        </w:tc>
        <w:tc>
          <w:tcPr>
            <w:tcW w:w="2258" w:type="dxa"/>
            <w:vAlign w:val="center"/>
          </w:tcPr>
          <w:p w14:paraId="351DE64C" w14:textId="7CC5597B" w:rsidR="00081010" w:rsidRDefault="00EC428E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尼克松名言收集网站</w:t>
            </w:r>
          </w:p>
        </w:tc>
        <w:tc>
          <w:tcPr>
            <w:tcW w:w="2617" w:type="dxa"/>
            <w:vAlign w:val="center"/>
          </w:tcPr>
          <w:p w14:paraId="5718BF9C" w14:textId="77777777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未提及</w:t>
            </w:r>
          </w:p>
        </w:tc>
        <w:tc>
          <w:tcPr>
            <w:tcW w:w="3233" w:type="dxa"/>
            <w:vAlign w:val="center"/>
          </w:tcPr>
          <w:p w14:paraId="6B7BA0E1" w14:textId="1BA30A2A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​</w:t>
            </w:r>
            <w:r>
              <w:rPr>
                <w:rStyle w:val="af3"/>
                <w:b w:val="0"/>
                <w:bCs/>
                <w:sz w:val="24"/>
                <w:szCs w:val="24"/>
                <w:lang w:bidi="ar"/>
              </w:rPr>
              <w:t>可信度</w:t>
            </w:r>
            <w:r w:rsidR="00EC428E">
              <w:rPr>
                <w:rStyle w:val="af3"/>
                <w:rFonts w:hint="eastAsia"/>
                <w:b w:val="0"/>
                <w:bCs/>
                <w:sz w:val="24"/>
                <w:szCs w:val="24"/>
                <w:lang w:bidi="ar"/>
              </w:rPr>
              <w:t>低</w:t>
            </w:r>
            <w:r>
              <w:rPr>
                <w:sz w:val="24"/>
                <w:szCs w:val="24"/>
                <w:lang w:bidi="ar"/>
              </w:rPr>
              <w:t>：</w:t>
            </w:r>
            <w:r w:rsidR="00EC428E">
              <w:rPr>
                <w:rFonts w:hint="eastAsia"/>
                <w:sz w:val="24"/>
                <w:szCs w:val="24"/>
                <w:lang w:bidi="ar"/>
              </w:rPr>
              <w:t>信息来源一个小众的网站，主要是对尼克松的名言进行收录</w:t>
            </w:r>
            <w:r>
              <w:rPr>
                <w:sz w:val="24"/>
                <w:szCs w:val="24"/>
                <w:lang w:bidi="ar"/>
              </w:rPr>
              <w:t>，</w:t>
            </w:r>
            <w:r w:rsidR="00EC428E">
              <w:rPr>
                <w:rFonts w:hint="eastAsia"/>
                <w:sz w:val="24"/>
                <w:szCs w:val="24"/>
                <w:lang w:bidi="ar"/>
              </w:rPr>
              <w:t>且所有的名言中均没有表示不战而胜的观点，但</w:t>
            </w:r>
            <w:r>
              <w:rPr>
                <w:sz w:val="24"/>
                <w:szCs w:val="24"/>
                <w:lang w:bidi="ar"/>
              </w:rPr>
              <w:t>无法直接</w:t>
            </w:r>
            <w:proofErr w:type="gramStart"/>
            <w:r>
              <w:rPr>
                <w:sz w:val="24"/>
                <w:szCs w:val="24"/>
                <w:lang w:bidi="ar"/>
              </w:rPr>
              <w:t>证伪书</w:t>
            </w:r>
            <w:proofErr w:type="gramEnd"/>
            <w:r>
              <w:rPr>
                <w:sz w:val="24"/>
                <w:szCs w:val="24"/>
                <w:lang w:bidi="ar"/>
              </w:rPr>
              <w:t>中是否存在该言论，需依赖原书分析。</w:t>
            </w:r>
          </w:p>
        </w:tc>
        <w:tc>
          <w:tcPr>
            <w:tcW w:w="1927" w:type="dxa"/>
            <w:vAlign w:val="center"/>
          </w:tcPr>
          <w:p w14:paraId="00D7D672" w14:textId="1CAC7CC8" w:rsidR="00081010" w:rsidRDefault="00081010" w:rsidP="000671BE">
            <w:pPr>
              <w:widowControl/>
              <w:spacing w:line="12" w:lineRule="atLeast"/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"/>
              </w:rPr>
              <w:t>结论</w:t>
            </w:r>
            <w:r w:rsidR="00EC428E">
              <w:rPr>
                <w:rFonts w:hint="eastAsia"/>
                <w:sz w:val="24"/>
                <w:szCs w:val="24"/>
                <w:lang w:bidi="ar"/>
              </w:rPr>
              <w:t>待验证</w:t>
            </w:r>
          </w:p>
        </w:tc>
      </w:tr>
    </w:tbl>
    <w:p w14:paraId="5FDFEB81" w14:textId="1CEF3442" w:rsidR="00EC428E" w:rsidRDefault="00EC428E" w:rsidP="00EC428E">
      <w:pPr>
        <w:pStyle w:val="3"/>
        <w:jc w:val="center"/>
        <w:rPr>
          <w:rFonts w:hint="eastAsia"/>
          <w:color w:val="auto"/>
        </w:rPr>
      </w:pPr>
      <w:r w:rsidRPr="009D6859">
        <w:rPr>
          <w:rFonts w:hint="eastAsia"/>
          <w:color w:val="auto"/>
        </w:rPr>
        <w:t>二、结论</w:t>
      </w:r>
    </w:p>
    <w:p w14:paraId="2C7994A3" w14:textId="77D988DD" w:rsidR="009D6859" w:rsidRPr="009D6859" w:rsidRDefault="009D6859" w:rsidP="009D6859">
      <w:pPr>
        <w:rPr>
          <w:rFonts w:hint="eastAsia"/>
        </w:rPr>
      </w:pPr>
      <w:r>
        <w:rPr>
          <w:rFonts w:ascii="宋体" w:eastAsia="宋体" w:hAnsi="宋体" w:cs="宋体" w:hint="eastAsia"/>
          <w:sz w:val="28"/>
          <w:szCs w:val="32"/>
        </w:rPr>
        <w:t>除了来自尼克松名言收集网站并不能</w:t>
      </w:r>
      <w:proofErr w:type="gramStart"/>
      <w:r>
        <w:rPr>
          <w:rFonts w:ascii="宋体" w:eastAsia="宋体" w:hAnsi="宋体" w:cs="宋体" w:hint="eastAsia"/>
          <w:sz w:val="28"/>
          <w:szCs w:val="32"/>
        </w:rPr>
        <w:t>作出</w:t>
      </w:r>
      <w:proofErr w:type="gramEnd"/>
      <w:r>
        <w:rPr>
          <w:rFonts w:ascii="宋体" w:eastAsia="宋体" w:hAnsi="宋体" w:cs="宋体" w:hint="eastAsia"/>
          <w:sz w:val="28"/>
          <w:szCs w:val="32"/>
        </w:rPr>
        <w:t>明确的结论外，其余表格中信息来源的结论（未提及该句）均为真实</w:t>
      </w:r>
      <w:r>
        <w:rPr>
          <w:rFonts w:ascii="宋体" w:eastAsia="宋体" w:hAnsi="宋体" w:cs="宋体"/>
          <w:sz w:val="28"/>
          <w:szCs w:val="32"/>
        </w:rPr>
        <w:t>，其可信度</w:t>
      </w:r>
      <w:r>
        <w:rPr>
          <w:rFonts w:ascii="宋体" w:eastAsia="宋体" w:hAnsi="宋体" w:cs="宋体"/>
          <w:b/>
          <w:bCs/>
          <w:sz w:val="28"/>
          <w:szCs w:val="32"/>
          <w:highlight w:val="yellow"/>
        </w:rPr>
        <w:t>由高到低</w:t>
      </w:r>
      <w:r>
        <w:rPr>
          <w:rFonts w:ascii="宋体" w:eastAsia="宋体" w:hAnsi="宋体" w:cs="宋体"/>
          <w:sz w:val="28"/>
          <w:szCs w:val="32"/>
        </w:rPr>
        <w:t>依次为：</w:t>
      </w:r>
      <w:r>
        <w:rPr>
          <w:rFonts w:ascii="宋体" w:eastAsia="宋体" w:hAnsi="宋体" w:cs="宋体" w:hint="eastAsia"/>
          <w:b/>
          <w:bCs/>
          <w:sz w:val="28"/>
          <w:szCs w:val="32"/>
          <w:highlight w:val="yellow"/>
        </w:rPr>
        <w:lastRenderedPageBreak/>
        <w:t>尼克松图书馆</w:t>
      </w:r>
      <w:r>
        <w:rPr>
          <w:rFonts w:ascii="宋体" w:eastAsia="宋体" w:hAnsi="宋体" w:cs="宋体"/>
          <w:b/>
          <w:bCs/>
          <w:sz w:val="28"/>
          <w:szCs w:val="32"/>
          <w:highlight w:val="yellow"/>
        </w:rPr>
        <w:t>＞</w:t>
      </w:r>
      <w:r>
        <w:rPr>
          <w:rFonts w:ascii="宋体" w:eastAsia="宋体" w:hAnsi="宋体" w:cs="宋体" w:hint="eastAsia"/>
          <w:b/>
          <w:bCs/>
          <w:sz w:val="28"/>
          <w:szCs w:val="32"/>
          <w:highlight w:val="yellow"/>
        </w:rPr>
        <w:t>维基百科</w:t>
      </w:r>
      <w:r>
        <w:rPr>
          <w:rFonts w:ascii="宋体" w:eastAsia="宋体" w:hAnsi="宋体" w:cs="宋体"/>
          <w:b/>
          <w:bCs/>
          <w:sz w:val="28"/>
          <w:szCs w:val="32"/>
          <w:highlight w:val="yellow"/>
        </w:rPr>
        <w:t>＞</w:t>
      </w:r>
      <w:r>
        <w:rPr>
          <w:rFonts w:ascii="宋体" w:eastAsia="宋体" w:hAnsi="宋体" w:cs="宋体" w:hint="eastAsia"/>
          <w:b/>
          <w:bCs/>
          <w:sz w:val="28"/>
          <w:szCs w:val="32"/>
          <w:highlight w:val="yellow"/>
        </w:rPr>
        <w:t>米勒中心分析</w:t>
      </w:r>
      <w:r>
        <w:rPr>
          <w:rFonts w:ascii="宋体" w:eastAsia="宋体" w:hAnsi="宋体" w:cs="宋体"/>
          <w:b/>
          <w:bCs/>
          <w:sz w:val="28"/>
          <w:szCs w:val="32"/>
          <w:highlight w:val="yellow"/>
        </w:rPr>
        <w:t>＞</w:t>
      </w:r>
      <w:r>
        <w:rPr>
          <w:rFonts w:ascii="宋体" w:eastAsia="宋体" w:hAnsi="宋体" w:cs="宋体" w:hint="eastAsia"/>
          <w:b/>
          <w:bCs/>
          <w:sz w:val="28"/>
          <w:szCs w:val="32"/>
          <w:highlight w:val="yellow"/>
        </w:rPr>
        <w:t>全球书评</w:t>
      </w:r>
      <w:r>
        <w:rPr>
          <w:rFonts w:ascii="宋体" w:eastAsia="宋体" w:hAnsi="宋体" w:cs="宋体"/>
          <w:b/>
          <w:bCs/>
          <w:sz w:val="28"/>
          <w:szCs w:val="32"/>
          <w:highlight w:val="yellow"/>
        </w:rPr>
        <w:t>＞</w:t>
      </w:r>
      <w:r>
        <w:rPr>
          <w:rFonts w:ascii="宋体" w:eastAsia="宋体" w:hAnsi="宋体" w:cs="宋体" w:hint="eastAsia"/>
          <w:b/>
          <w:bCs/>
          <w:sz w:val="28"/>
          <w:szCs w:val="32"/>
          <w:highlight w:val="yellow"/>
        </w:rPr>
        <w:t>名言收集网站</w:t>
      </w:r>
      <w:r>
        <w:rPr>
          <w:rFonts w:ascii="宋体" w:eastAsia="宋体" w:hAnsi="宋体" w:cs="宋体"/>
          <w:sz w:val="28"/>
          <w:szCs w:val="32"/>
        </w:rPr>
        <w:t>。</w:t>
      </w:r>
      <w:r>
        <w:rPr>
          <w:rFonts w:ascii="宋体" w:eastAsia="宋体" w:hAnsi="宋体" w:cs="宋体" w:hint="eastAsia"/>
          <w:sz w:val="28"/>
          <w:szCs w:val="32"/>
        </w:rPr>
        <w:t>经过分析，大多数国外的报道，期刊，书评均没有提及尼克松相关的观点，以此推断“不战而胜”的观点并没有出自尼克松的作品，中文网络中的相关信息应属</w:t>
      </w:r>
      <w:r w:rsidRPr="001F38DD">
        <w:rPr>
          <w:rFonts w:ascii="宋体" w:eastAsia="宋体" w:hAnsi="宋体" w:cs="宋体" w:hint="eastAsia"/>
          <w:sz w:val="28"/>
          <w:szCs w:val="32"/>
          <w:highlight w:val="yellow"/>
        </w:rPr>
        <w:t>谣言</w:t>
      </w:r>
      <w:r>
        <w:rPr>
          <w:rFonts w:ascii="宋体" w:eastAsia="宋体" w:hAnsi="宋体" w:cs="宋体"/>
          <w:sz w:val="28"/>
          <w:szCs w:val="32"/>
        </w:rPr>
        <w:t>。</w:t>
      </w:r>
    </w:p>
    <w:p w14:paraId="0F664E4A" w14:textId="77777777" w:rsidR="00024CE8" w:rsidRDefault="00024CE8">
      <w:pPr>
        <w:rPr>
          <w:rFonts w:hint="eastAsia"/>
        </w:rPr>
      </w:pPr>
    </w:p>
    <w:sectPr w:rsidR="00024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2B09F9" w14:textId="77777777" w:rsidR="00626C60" w:rsidRDefault="00626C60" w:rsidP="00081010">
      <w:pPr>
        <w:rPr>
          <w:rFonts w:hint="eastAsia"/>
        </w:rPr>
      </w:pPr>
      <w:r>
        <w:separator/>
      </w:r>
    </w:p>
  </w:endnote>
  <w:endnote w:type="continuationSeparator" w:id="0">
    <w:p w14:paraId="3BB75FE0" w14:textId="77777777" w:rsidR="00626C60" w:rsidRDefault="00626C60" w:rsidP="000810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1AC1B" w14:textId="77777777" w:rsidR="00626C60" w:rsidRDefault="00626C60" w:rsidP="00081010">
      <w:pPr>
        <w:rPr>
          <w:rFonts w:hint="eastAsia"/>
        </w:rPr>
      </w:pPr>
      <w:r>
        <w:separator/>
      </w:r>
    </w:p>
  </w:footnote>
  <w:footnote w:type="continuationSeparator" w:id="0">
    <w:p w14:paraId="254BBE6D" w14:textId="77777777" w:rsidR="00626C60" w:rsidRDefault="00626C60" w:rsidP="00081010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E8"/>
    <w:rsid w:val="00024CE8"/>
    <w:rsid w:val="00081010"/>
    <w:rsid w:val="001F38DD"/>
    <w:rsid w:val="00626C60"/>
    <w:rsid w:val="007930B0"/>
    <w:rsid w:val="009D6859"/>
    <w:rsid w:val="00E85728"/>
    <w:rsid w:val="00EC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3BA5C"/>
  <w15:chartTrackingRefBased/>
  <w15:docId w15:val="{5EACA35A-1076-4ACE-965D-BB2C9AA7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010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4CE8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CE8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024CE8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CE8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CE8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CE8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CE8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CE8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CE8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4C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24C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24C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4CE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4CE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24CE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24CE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24CE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24CE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24CE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024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4CE8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024C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4CE8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024C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4CE8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024C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4C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024C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4CE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81010"/>
    <w:pPr>
      <w:tabs>
        <w:tab w:val="center" w:pos="4153"/>
        <w:tab w:val="right" w:pos="8306"/>
      </w:tabs>
      <w:snapToGrid w:val="0"/>
      <w:spacing w:after="160"/>
      <w:jc w:val="center"/>
    </w:pPr>
    <w:rPr>
      <w:sz w:val="18"/>
      <w:szCs w:val="18"/>
      <w14:ligatures w14:val="standardContextual"/>
    </w:rPr>
  </w:style>
  <w:style w:type="character" w:customStyle="1" w:styleId="af">
    <w:name w:val="页眉 字符"/>
    <w:basedOn w:val="a0"/>
    <w:link w:val="ae"/>
    <w:uiPriority w:val="99"/>
    <w:rsid w:val="0008101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81010"/>
    <w:pPr>
      <w:tabs>
        <w:tab w:val="center" w:pos="4153"/>
        <w:tab w:val="right" w:pos="8306"/>
      </w:tabs>
      <w:snapToGrid w:val="0"/>
      <w:spacing w:after="160"/>
      <w:jc w:val="left"/>
    </w:pPr>
    <w:rPr>
      <w:sz w:val="18"/>
      <w:szCs w:val="18"/>
      <w14:ligatures w14:val="standardContextual"/>
    </w:rPr>
  </w:style>
  <w:style w:type="character" w:customStyle="1" w:styleId="af1">
    <w:name w:val="页脚 字符"/>
    <w:basedOn w:val="a0"/>
    <w:link w:val="af0"/>
    <w:uiPriority w:val="99"/>
    <w:rsid w:val="00081010"/>
    <w:rPr>
      <w:sz w:val="18"/>
      <w:szCs w:val="18"/>
    </w:rPr>
  </w:style>
  <w:style w:type="table" w:styleId="af2">
    <w:name w:val="Table Grid"/>
    <w:basedOn w:val="a1"/>
    <w:uiPriority w:val="39"/>
    <w:qFormat/>
    <w:rsid w:val="00081010"/>
    <w:pPr>
      <w:spacing w:after="0" w:line="240" w:lineRule="auto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081010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zack</dc:creator>
  <cp:keywords/>
  <dc:description/>
  <cp:lastModifiedBy>zhang zack</cp:lastModifiedBy>
  <cp:revision>3</cp:revision>
  <dcterms:created xsi:type="dcterms:W3CDTF">2025-04-11T00:56:00Z</dcterms:created>
  <dcterms:modified xsi:type="dcterms:W3CDTF">2025-04-11T01:24:00Z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2025-04-11T01:24:02Z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6138cd62-9baa-4f64-b416-d5a846d8fbd8</vt:lpwstr>
  </property>
  <property fmtid="{D5CDD505-2E9C-101B-9397-08002B2CF9AE}" pid="7" name="MSIP_Label_defa4170-0d19-0005-0004-bc88714345d2_ActionId">
    <vt:lpwstr>a2508d97-8698-4f0e-928b-d0abd4b2a3f3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