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CFC International, Inc.</w:t>
      </w:r>
    </w:p>
    <w:p>
      <w:pPr>
        <w:pStyle w:val="Heading1"/>
      </w:pPr>
      <w:r>
        <w:t>Management's Discussion and Analysis (2005)</w:t>
      </w:r>
    </w:p>
    <w:p>
      <w:r>
        <w:t>For the year ended December 31, 2005, CFC International achieved record net sales of $118.6 million, representing a modest increase over prior years. EBITDA improved to $14.8 million, reflecting operational efficiencies and continued adoption of our holographic magnetic stripe products and other coatings.</w:t>
      </w:r>
    </w:p>
    <w:p>
      <w:r>
        <w:t>We believe demand for our holographic stripe remains strong, with opportunities for further penetration in financial cards and security markets. Our growth initiatives are expected to generate continued revenue expansion in 2006 and beyond.</w:t>
      </w:r>
    </w:p>
    <w:p>
      <w:r>
        <w:t>Our coatings and decorative products businesses also remain stable, with particular strength in packaging and pharmaceutical applications. We are optimistic that these markets will support long-term shareholder value.</w:t>
      </w:r>
    </w:p>
    <w:p>
      <w:r>
        <w:t>Overall, we are confident in our ability to maintain strong financial performance and to build upon the momentum we have achieved in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